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12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храните и горите.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11.0</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Решение ОК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17/02/2021 - 01:34:42 CET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Calibri" w:hAnsi="Calibr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Calibri" w:hAnsi="Calibr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Calibri" w:hAnsi="Calibr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Calibri" w:hAnsi="Calibr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Calibri" w:hAnsi="Calibr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Calibri" w:hAnsi="Calibr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14</w:t>
        </w:r>
        <w:r>
          <w:fldChar w:fldCharType="end"/>
        </w:r>
      </w:hyperlink>
    </w:p>
    <w:p>
      <w:pPr>
        <w:pStyle w:val="TOC1"/>
        <w:rPr>
          <w:rFonts w:ascii="Calibri" w:hAnsi="Calibr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31</w:t>
        </w:r>
        <w:r>
          <w:fldChar w:fldCharType="end"/>
        </w:r>
      </w:hyperlink>
    </w:p>
    <w:p>
      <w:pPr>
        <w:pStyle w:val="TOC2"/>
        <w:rPr>
          <w:rFonts w:ascii="Calibri" w:hAnsi="Calibr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31</w:t>
        </w:r>
        <w:r>
          <w:fldChar w:fldCharType="end"/>
        </w:r>
      </w:hyperlink>
    </w:p>
    <w:p>
      <w:pPr>
        <w:pStyle w:val="TOC2"/>
        <w:rPr>
          <w:rFonts w:ascii="Calibri" w:hAnsi="Calibr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31</w:t>
        </w:r>
        <w:r>
          <w:fldChar w:fldCharType="end"/>
        </w:r>
      </w:hyperlink>
    </w:p>
    <w:p>
      <w:pPr>
        <w:pStyle w:val="TOC1"/>
        <w:rPr>
          <w:rFonts w:ascii="Calibri" w:hAnsi="Calibr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32</w:t>
        </w:r>
        <w:r>
          <w:fldChar w:fldCharType="end"/>
        </w:r>
      </w:hyperlink>
    </w:p>
    <w:p>
      <w:pPr>
        <w:pStyle w:val="TOC2"/>
        <w:rPr>
          <w:rFonts w:ascii="Calibri" w:hAnsi="Calibr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32</w:t>
        </w:r>
        <w:r>
          <w:fldChar w:fldCharType="end"/>
        </w:r>
      </w:hyperlink>
    </w:p>
    <w:p>
      <w:pPr>
        <w:pStyle w:val="TOC2"/>
        <w:rPr>
          <w:rFonts w:ascii="Calibri" w:hAnsi="Calibr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34</w:t>
        </w:r>
        <w:r>
          <w:fldChar w:fldCharType="end"/>
        </w:r>
      </w:hyperlink>
    </w:p>
    <w:p>
      <w:pPr>
        <w:pStyle w:val="TOC3"/>
        <w:rPr>
          <w:rFonts w:ascii="Calibri" w:hAnsi="Calibr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35</w:t>
        </w:r>
        <w:r>
          <w:fldChar w:fldCharType="end"/>
        </w:r>
      </w:hyperlink>
    </w:p>
    <w:p>
      <w:pPr>
        <w:pStyle w:val="TOC3"/>
        <w:rPr>
          <w:rFonts w:ascii="Calibri" w:hAnsi="Calibr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35</w:t>
        </w:r>
        <w:r>
          <w:fldChar w:fldCharType="end"/>
        </w:r>
      </w:hyperlink>
    </w:p>
    <w:p>
      <w:pPr>
        <w:pStyle w:val="TOC3"/>
        <w:rPr>
          <w:rFonts w:ascii="Calibri" w:hAnsi="Calibr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36</w:t>
        </w:r>
        <w:r>
          <w:fldChar w:fldCharType="end"/>
        </w:r>
      </w:hyperlink>
    </w:p>
    <w:p>
      <w:pPr>
        <w:pStyle w:val="TOC3"/>
        <w:rPr>
          <w:rFonts w:ascii="Calibri" w:hAnsi="Calibr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36</w:t>
        </w:r>
        <w:r>
          <w:fldChar w:fldCharType="end"/>
        </w:r>
      </w:hyperlink>
    </w:p>
    <w:p>
      <w:pPr>
        <w:pStyle w:val="TOC3"/>
        <w:rPr>
          <w:rFonts w:ascii="Calibri" w:hAnsi="Calibr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37</w:t>
        </w:r>
        <w:r>
          <w:fldChar w:fldCharType="end"/>
        </w:r>
      </w:hyperlink>
    </w:p>
    <w:p>
      <w:pPr>
        <w:pStyle w:val="TOC3"/>
        <w:rPr>
          <w:rFonts w:ascii="Calibri" w:hAnsi="Calibr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37</w:t>
        </w:r>
        <w:r>
          <w:fldChar w:fldCharType="end"/>
        </w:r>
      </w:hyperlink>
    </w:p>
    <w:p>
      <w:pPr>
        <w:pStyle w:val="TOC3"/>
        <w:rPr>
          <w:rFonts w:ascii="Calibri" w:hAnsi="Calibr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38</w:t>
        </w:r>
        <w:r>
          <w:fldChar w:fldCharType="end"/>
        </w:r>
      </w:hyperlink>
    </w:p>
    <w:p>
      <w:pPr>
        <w:pStyle w:val="TOC3"/>
        <w:rPr>
          <w:rFonts w:ascii="Calibri" w:hAnsi="Calibr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38</w:t>
        </w:r>
        <w:r>
          <w:fldChar w:fldCharType="end"/>
        </w:r>
      </w:hyperlink>
    </w:p>
    <w:p>
      <w:pPr>
        <w:pStyle w:val="TOC3"/>
        <w:rPr>
          <w:rFonts w:ascii="Calibri" w:hAnsi="Calibr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39</w:t>
        </w:r>
        <w:r>
          <w:fldChar w:fldCharType="end"/>
        </w:r>
      </w:hyperlink>
    </w:p>
    <w:p>
      <w:pPr>
        <w:pStyle w:val="TOC3"/>
        <w:rPr>
          <w:rFonts w:ascii="Calibri" w:hAnsi="Calibr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39</w:t>
        </w:r>
        <w:r>
          <w:fldChar w:fldCharType="end"/>
        </w:r>
      </w:hyperlink>
    </w:p>
    <w:p>
      <w:pPr>
        <w:pStyle w:val="TOC3"/>
        <w:rPr>
          <w:rFonts w:ascii="Calibri" w:hAnsi="Calibr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40</w:t>
        </w:r>
        <w:r>
          <w:fldChar w:fldCharType="end"/>
        </w:r>
      </w:hyperlink>
    </w:p>
    <w:p>
      <w:pPr>
        <w:pStyle w:val="TOC3"/>
        <w:rPr>
          <w:rFonts w:ascii="Calibri" w:hAnsi="Calibr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41</w:t>
        </w:r>
        <w:r>
          <w:fldChar w:fldCharType="end"/>
        </w:r>
      </w:hyperlink>
    </w:p>
    <w:p>
      <w:pPr>
        <w:pStyle w:val="TOC3"/>
        <w:rPr>
          <w:rFonts w:ascii="Calibri" w:hAnsi="Calibr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41</w:t>
        </w:r>
        <w:r>
          <w:fldChar w:fldCharType="end"/>
        </w:r>
      </w:hyperlink>
    </w:p>
    <w:p>
      <w:pPr>
        <w:pStyle w:val="TOC3"/>
        <w:rPr>
          <w:rFonts w:ascii="Calibri" w:hAnsi="Calibr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41</w:t>
        </w:r>
        <w:r>
          <w:fldChar w:fldCharType="end"/>
        </w:r>
      </w:hyperlink>
    </w:p>
    <w:p>
      <w:pPr>
        <w:pStyle w:val="TOC3"/>
        <w:rPr>
          <w:rFonts w:ascii="Calibri" w:hAnsi="Calibr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42</w:t>
        </w:r>
        <w:r>
          <w:fldChar w:fldCharType="end"/>
        </w:r>
      </w:hyperlink>
    </w:p>
    <w:p>
      <w:pPr>
        <w:pStyle w:val="TOC3"/>
        <w:rPr>
          <w:rFonts w:ascii="Calibri" w:hAnsi="Calibr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42</w:t>
        </w:r>
        <w:r>
          <w:fldChar w:fldCharType="end"/>
        </w:r>
      </w:hyperlink>
    </w:p>
    <w:p>
      <w:pPr>
        <w:pStyle w:val="TOC3"/>
        <w:rPr>
          <w:rFonts w:ascii="Calibri" w:hAnsi="Calibr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43</w:t>
        </w:r>
        <w:r>
          <w:fldChar w:fldCharType="end"/>
        </w:r>
      </w:hyperlink>
    </w:p>
    <w:p>
      <w:pPr>
        <w:pStyle w:val="TOC3"/>
        <w:rPr>
          <w:rFonts w:ascii="Calibri" w:hAnsi="Calibr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43</w:t>
        </w:r>
        <w:r>
          <w:fldChar w:fldCharType="end"/>
        </w:r>
      </w:hyperlink>
    </w:p>
    <w:p>
      <w:pPr>
        <w:pStyle w:val="TOC3"/>
        <w:rPr>
          <w:rFonts w:ascii="Calibri" w:hAnsi="Calibr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44</w:t>
        </w:r>
        <w:r>
          <w:fldChar w:fldCharType="end"/>
        </w:r>
      </w:hyperlink>
    </w:p>
    <w:p>
      <w:pPr>
        <w:pStyle w:val="TOC3"/>
        <w:rPr>
          <w:rFonts w:ascii="Calibri" w:hAnsi="Calibr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44</w:t>
        </w:r>
        <w:r>
          <w:fldChar w:fldCharType="end"/>
        </w:r>
      </w:hyperlink>
    </w:p>
    <w:p>
      <w:pPr>
        <w:pStyle w:val="TOC3"/>
        <w:rPr>
          <w:rFonts w:ascii="Calibri" w:hAnsi="Calibr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45</w:t>
        </w:r>
        <w:r>
          <w:fldChar w:fldCharType="end"/>
        </w:r>
      </w:hyperlink>
    </w:p>
    <w:p>
      <w:pPr>
        <w:pStyle w:val="TOC3"/>
        <w:rPr>
          <w:rFonts w:ascii="Calibri" w:hAnsi="Calibr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45</w:t>
        </w:r>
        <w:r>
          <w:fldChar w:fldCharType="end"/>
        </w:r>
      </w:hyperlink>
    </w:p>
    <w:p>
      <w:pPr>
        <w:pStyle w:val="TOC3"/>
        <w:rPr>
          <w:rFonts w:ascii="Calibri" w:hAnsi="Calibr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46</w:t>
        </w:r>
        <w:r>
          <w:fldChar w:fldCharType="end"/>
        </w:r>
      </w:hyperlink>
    </w:p>
    <w:p>
      <w:pPr>
        <w:pStyle w:val="TOC3"/>
        <w:rPr>
          <w:rFonts w:ascii="Calibri" w:hAnsi="Calibr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46</w:t>
        </w:r>
        <w:r>
          <w:fldChar w:fldCharType="end"/>
        </w:r>
      </w:hyperlink>
    </w:p>
    <w:p>
      <w:pPr>
        <w:pStyle w:val="TOC2"/>
        <w:rPr>
          <w:rFonts w:ascii="Calibri" w:hAnsi="Calibr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47</w:t>
        </w:r>
        <w:r>
          <w:fldChar w:fldCharType="end"/>
        </w:r>
      </w:hyperlink>
    </w:p>
    <w:p>
      <w:pPr>
        <w:pStyle w:val="TOC1"/>
        <w:rPr>
          <w:rFonts w:ascii="Calibri" w:hAnsi="Calibr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48</w:t>
        </w:r>
        <w:r>
          <w:fldChar w:fldCharType="end"/>
        </w:r>
      </w:hyperlink>
    </w:p>
    <w:p>
      <w:pPr>
        <w:pStyle w:val="TOC2"/>
        <w:rPr>
          <w:rFonts w:ascii="Calibri" w:hAnsi="Calibr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48</w:t>
        </w:r>
        <w:r>
          <w:fldChar w:fldCharType="end"/>
        </w:r>
      </w:hyperlink>
    </w:p>
    <w:p>
      <w:pPr>
        <w:pStyle w:val="TOC3"/>
        <w:rPr>
          <w:rFonts w:ascii="Calibri" w:hAnsi="Calibr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48</w:t>
        </w:r>
        <w:r>
          <w:fldChar w:fldCharType="end"/>
        </w:r>
      </w:hyperlink>
    </w:p>
    <w:p>
      <w:pPr>
        <w:pStyle w:val="TOC3"/>
        <w:rPr>
          <w:rFonts w:ascii="Calibri" w:hAnsi="Calibr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60</w:t>
        </w:r>
        <w:r>
          <w:fldChar w:fldCharType="end"/>
        </w:r>
      </w:hyperlink>
    </w:p>
    <w:p>
      <w:pPr>
        <w:pStyle w:val="TOC3"/>
        <w:rPr>
          <w:rFonts w:ascii="Calibri" w:hAnsi="Calibr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62</w:t>
        </w:r>
        <w:r>
          <w:fldChar w:fldCharType="end"/>
        </w:r>
      </w:hyperlink>
    </w:p>
    <w:p>
      <w:pPr>
        <w:pStyle w:val="TOC3"/>
        <w:rPr>
          <w:rFonts w:ascii="Calibri" w:hAnsi="Calibr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64</w:t>
        </w:r>
        <w:r>
          <w:fldChar w:fldCharType="end"/>
        </w:r>
      </w:hyperlink>
    </w:p>
    <w:p>
      <w:pPr>
        <w:pStyle w:val="TOC3"/>
        <w:rPr>
          <w:rFonts w:ascii="Calibri" w:hAnsi="Calibr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65</w:t>
        </w:r>
        <w:r>
          <w:fldChar w:fldCharType="end"/>
        </w:r>
      </w:hyperlink>
    </w:p>
    <w:p>
      <w:pPr>
        <w:pStyle w:val="TOC3"/>
        <w:rPr>
          <w:rFonts w:ascii="Calibri" w:hAnsi="Calibr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67</w:t>
        </w:r>
        <w:r>
          <w:fldChar w:fldCharType="end"/>
        </w:r>
      </w:hyperlink>
    </w:p>
    <w:p>
      <w:pPr>
        <w:pStyle w:val="TOC3"/>
        <w:rPr>
          <w:rFonts w:ascii="Calibri" w:hAnsi="Calibr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76</w:t>
        </w:r>
        <w:r>
          <w:fldChar w:fldCharType="end"/>
        </w:r>
      </w:hyperlink>
    </w:p>
    <w:p>
      <w:pPr>
        <w:pStyle w:val="TOC2"/>
        <w:rPr>
          <w:rFonts w:ascii="Calibri" w:hAnsi="Calibr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77</w:t>
        </w:r>
        <w:r>
          <w:fldChar w:fldCharType="end"/>
        </w:r>
      </w:hyperlink>
    </w:p>
    <w:p>
      <w:pPr>
        <w:pStyle w:val="TOC3"/>
        <w:rPr>
          <w:rFonts w:ascii="Calibri" w:hAnsi="Calibr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81</w:t>
        </w:r>
        <w:r>
          <w:fldChar w:fldCharType="end"/>
        </w:r>
      </w:hyperlink>
    </w:p>
    <w:p>
      <w:pPr>
        <w:pStyle w:val="TOC3"/>
        <w:rPr>
          <w:rFonts w:ascii="Calibri" w:hAnsi="Calibr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82</w:t>
        </w:r>
        <w:r>
          <w:fldChar w:fldCharType="end"/>
        </w:r>
      </w:hyperlink>
    </w:p>
    <w:p>
      <w:pPr>
        <w:pStyle w:val="TOC3"/>
        <w:rPr>
          <w:rFonts w:ascii="Calibri" w:hAnsi="Calibr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83</w:t>
        </w:r>
        <w:r>
          <w:fldChar w:fldCharType="end"/>
        </w:r>
      </w:hyperlink>
    </w:p>
    <w:p>
      <w:pPr>
        <w:pStyle w:val="TOC3"/>
        <w:rPr>
          <w:rFonts w:ascii="Calibri" w:hAnsi="Calibr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85</w:t>
        </w:r>
        <w:r>
          <w:fldChar w:fldCharType="end"/>
        </w:r>
      </w:hyperlink>
    </w:p>
    <w:p>
      <w:pPr>
        <w:pStyle w:val="TOC3"/>
        <w:rPr>
          <w:rFonts w:ascii="Calibri" w:hAnsi="Calibr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85</w:t>
        </w:r>
        <w:r>
          <w:fldChar w:fldCharType="end"/>
        </w:r>
      </w:hyperlink>
    </w:p>
    <w:p>
      <w:pPr>
        <w:pStyle w:val="TOC3"/>
        <w:rPr>
          <w:rFonts w:ascii="Calibri" w:hAnsi="Calibr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87</w:t>
        </w:r>
        <w:r>
          <w:fldChar w:fldCharType="end"/>
        </w:r>
      </w:hyperlink>
    </w:p>
    <w:p>
      <w:pPr>
        <w:pStyle w:val="TOC3"/>
        <w:rPr>
          <w:rFonts w:ascii="Calibri" w:hAnsi="Calibr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88</w:t>
        </w:r>
        <w:r>
          <w:fldChar w:fldCharType="end"/>
        </w:r>
      </w:hyperlink>
    </w:p>
    <w:p>
      <w:pPr>
        <w:pStyle w:val="TOC3"/>
        <w:rPr>
          <w:rFonts w:ascii="Calibri" w:hAnsi="Calibr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89</w:t>
        </w:r>
        <w:r>
          <w:fldChar w:fldCharType="end"/>
        </w:r>
      </w:hyperlink>
    </w:p>
    <w:p>
      <w:pPr>
        <w:pStyle w:val="TOC3"/>
        <w:rPr>
          <w:rFonts w:ascii="Calibri" w:hAnsi="Calibr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90</w:t>
        </w:r>
        <w:r>
          <w:fldChar w:fldCharType="end"/>
        </w:r>
      </w:hyperlink>
    </w:p>
    <w:p>
      <w:pPr>
        <w:pStyle w:val="TOC3"/>
        <w:rPr>
          <w:rFonts w:ascii="Calibri" w:hAnsi="Calibr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91</w:t>
        </w:r>
        <w:r>
          <w:fldChar w:fldCharType="end"/>
        </w:r>
      </w:hyperlink>
    </w:p>
    <w:p>
      <w:pPr>
        <w:pStyle w:val="TOC3"/>
        <w:rPr>
          <w:rFonts w:ascii="Calibri" w:hAnsi="Calibr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91</w:t>
        </w:r>
        <w:r>
          <w:fldChar w:fldCharType="end"/>
        </w:r>
      </w:hyperlink>
    </w:p>
    <w:p>
      <w:pPr>
        <w:pStyle w:val="TOC3"/>
        <w:rPr>
          <w:rFonts w:ascii="Calibri" w:hAnsi="Calibr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92</w:t>
        </w:r>
        <w:r>
          <w:fldChar w:fldCharType="end"/>
        </w:r>
      </w:hyperlink>
    </w:p>
    <w:p>
      <w:pPr>
        <w:pStyle w:val="TOC3"/>
        <w:rPr>
          <w:rFonts w:ascii="Calibri" w:hAnsi="Calibr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93</w:t>
        </w:r>
        <w:r>
          <w:fldChar w:fldCharType="end"/>
        </w:r>
      </w:hyperlink>
    </w:p>
    <w:p>
      <w:pPr>
        <w:pStyle w:val="TOC3"/>
        <w:rPr>
          <w:rFonts w:ascii="Calibri" w:hAnsi="Calibr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94</w:t>
        </w:r>
        <w:r>
          <w:fldChar w:fldCharType="end"/>
        </w:r>
      </w:hyperlink>
    </w:p>
    <w:p>
      <w:pPr>
        <w:pStyle w:val="TOC3"/>
        <w:rPr>
          <w:rFonts w:ascii="Calibri" w:hAnsi="Calibr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95</w:t>
        </w:r>
        <w:r>
          <w:fldChar w:fldCharType="end"/>
        </w:r>
      </w:hyperlink>
    </w:p>
    <w:p>
      <w:pPr>
        <w:pStyle w:val="TOC3"/>
        <w:rPr>
          <w:rFonts w:ascii="Calibri" w:hAnsi="Calibr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95</w:t>
        </w:r>
        <w:r>
          <w:fldChar w:fldCharType="end"/>
        </w:r>
      </w:hyperlink>
    </w:p>
    <w:p>
      <w:pPr>
        <w:pStyle w:val="TOC3"/>
        <w:rPr>
          <w:rFonts w:ascii="Calibri" w:hAnsi="Calibr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96</w:t>
        </w:r>
        <w:r>
          <w:fldChar w:fldCharType="end"/>
        </w:r>
      </w:hyperlink>
    </w:p>
    <w:p>
      <w:pPr>
        <w:pStyle w:val="TOC3"/>
        <w:rPr>
          <w:rFonts w:ascii="Calibri" w:hAnsi="Calibr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97</w:t>
        </w:r>
        <w:r>
          <w:fldChar w:fldCharType="end"/>
        </w:r>
      </w:hyperlink>
    </w:p>
    <w:p>
      <w:pPr>
        <w:pStyle w:val="TOC3"/>
        <w:rPr>
          <w:rFonts w:ascii="Calibri" w:hAnsi="Calibr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98</w:t>
        </w:r>
        <w:r>
          <w:fldChar w:fldCharType="end"/>
        </w:r>
      </w:hyperlink>
    </w:p>
    <w:p>
      <w:pPr>
        <w:pStyle w:val="TOC3"/>
        <w:rPr>
          <w:rFonts w:ascii="Calibri" w:hAnsi="Calibr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99</w:t>
        </w:r>
        <w:r>
          <w:fldChar w:fldCharType="end"/>
        </w:r>
      </w:hyperlink>
    </w:p>
    <w:p>
      <w:pPr>
        <w:pStyle w:val="TOC3"/>
        <w:rPr>
          <w:rFonts w:ascii="Calibri" w:hAnsi="Calibr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99</w:t>
        </w:r>
        <w:r>
          <w:fldChar w:fldCharType="end"/>
        </w:r>
      </w:hyperlink>
    </w:p>
    <w:p>
      <w:pPr>
        <w:pStyle w:val="TOC3"/>
        <w:rPr>
          <w:rFonts w:ascii="Calibri" w:hAnsi="Calibr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100</w:t>
        </w:r>
        <w:r>
          <w:fldChar w:fldCharType="end"/>
        </w:r>
      </w:hyperlink>
    </w:p>
    <w:p>
      <w:pPr>
        <w:pStyle w:val="TOC3"/>
        <w:rPr>
          <w:rFonts w:ascii="Calibri" w:hAnsi="Calibr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101</w:t>
        </w:r>
        <w:r>
          <w:fldChar w:fldCharType="end"/>
        </w:r>
      </w:hyperlink>
    </w:p>
    <w:p>
      <w:pPr>
        <w:pStyle w:val="TOC3"/>
        <w:rPr>
          <w:rFonts w:ascii="Calibri" w:hAnsi="Calibr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101</w:t>
        </w:r>
        <w:r>
          <w:fldChar w:fldCharType="end"/>
        </w:r>
      </w:hyperlink>
    </w:p>
    <w:p>
      <w:pPr>
        <w:pStyle w:val="TOC3"/>
        <w:rPr>
          <w:rFonts w:ascii="Calibri" w:hAnsi="Calibr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102</w:t>
        </w:r>
        <w:r>
          <w:fldChar w:fldCharType="end"/>
        </w:r>
      </w:hyperlink>
    </w:p>
    <w:p>
      <w:pPr>
        <w:pStyle w:val="TOC3"/>
        <w:rPr>
          <w:rFonts w:ascii="Calibri" w:hAnsi="Calibr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103</w:t>
        </w:r>
        <w:r>
          <w:fldChar w:fldCharType="end"/>
        </w:r>
      </w:hyperlink>
    </w:p>
    <w:p>
      <w:pPr>
        <w:pStyle w:val="TOC3"/>
        <w:rPr>
          <w:rFonts w:ascii="Calibri" w:hAnsi="Calibr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103</w:t>
        </w:r>
        <w:r>
          <w:fldChar w:fldCharType="end"/>
        </w:r>
      </w:hyperlink>
    </w:p>
    <w:p>
      <w:pPr>
        <w:pStyle w:val="TOC3"/>
        <w:rPr>
          <w:rFonts w:ascii="Calibri" w:hAnsi="Calibr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104</w:t>
        </w:r>
        <w:r>
          <w:fldChar w:fldCharType="end"/>
        </w:r>
      </w:hyperlink>
    </w:p>
    <w:p>
      <w:pPr>
        <w:pStyle w:val="TOC3"/>
        <w:rPr>
          <w:rFonts w:ascii="Calibri" w:hAnsi="Calibr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105</w:t>
        </w:r>
        <w:r>
          <w:fldChar w:fldCharType="end"/>
        </w:r>
      </w:hyperlink>
    </w:p>
    <w:p>
      <w:pPr>
        <w:pStyle w:val="TOC3"/>
        <w:rPr>
          <w:rFonts w:ascii="Calibri" w:hAnsi="Calibr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105</w:t>
        </w:r>
        <w:r>
          <w:fldChar w:fldCharType="end"/>
        </w:r>
      </w:hyperlink>
    </w:p>
    <w:p>
      <w:pPr>
        <w:pStyle w:val="TOC3"/>
        <w:rPr>
          <w:rFonts w:ascii="Calibri" w:hAnsi="Calibr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105</w:t>
        </w:r>
        <w:r>
          <w:fldChar w:fldCharType="end"/>
        </w:r>
      </w:hyperlink>
    </w:p>
    <w:p>
      <w:pPr>
        <w:pStyle w:val="TOC3"/>
        <w:rPr>
          <w:rFonts w:ascii="Calibri" w:hAnsi="Calibr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106</w:t>
        </w:r>
        <w:r>
          <w:fldChar w:fldCharType="end"/>
        </w:r>
      </w:hyperlink>
    </w:p>
    <w:p>
      <w:pPr>
        <w:pStyle w:val="TOC3"/>
        <w:rPr>
          <w:rFonts w:ascii="Calibri" w:hAnsi="Calibr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107</w:t>
        </w:r>
        <w:r>
          <w:fldChar w:fldCharType="end"/>
        </w:r>
      </w:hyperlink>
    </w:p>
    <w:p>
      <w:pPr>
        <w:pStyle w:val="TOC3"/>
        <w:rPr>
          <w:rFonts w:ascii="Calibri" w:hAnsi="Calibr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108</w:t>
        </w:r>
        <w:r>
          <w:fldChar w:fldCharType="end"/>
        </w:r>
      </w:hyperlink>
    </w:p>
    <w:p>
      <w:pPr>
        <w:pStyle w:val="TOC3"/>
        <w:rPr>
          <w:rFonts w:ascii="Calibri" w:hAnsi="Calibr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108</w:t>
        </w:r>
        <w:r>
          <w:fldChar w:fldCharType="end"/>
        </w:r>
      </w:hyperlink>
    </w:p>
    <w:p>
      <w:pPr>
        <w:pStyle w:val="TOC3"/>
        <w:rPr>
          <w:rFonts w:ascii="Calibri" w:hAnsi="Calibr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109</w:t>
        </w:r>
        <w:r>
          <w:fldChar w:fldCharType="end"/>
        </w:r>
      </w:hyperlink>
    </w:p>
    <w:p>
      <w:pPr>
        <w:pStyle w:val="TOC3"/>
        <w:rPr>
          <w:rFonts w:ascii="Calibri" w:hAnsi="Calibr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109</w:t>
        </w:r>
        <w:r>
          <w:fldChar w:fldCharType="end"/>
        </w:r>
      </w:hyperlink>
    </w:p>
    <w:p>
      <w:pPr>
        <w:pStyle w:val="TOC3"/>
        <w:rPr>
          <w:rFonts w:ascii="Calibri" w:hAnsi="Calibr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110</w:t>
        </w:r>
        <w:r>
          <w:fldChar w:fldCharType="end"/>
        </w:r>
      </w:hyperlink>
    </w:p>
    <w:p>
      <w:pPr>
        <w:pStyle w:val="TOC3"/>
        <w:rPr>
          <w:rFonts w:ascii="Calibri" w:hAnsi="Calibr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110</w:t>
        </w:r>
        <w:r>
          <w:fldChar w:fldCharType="end"/>
        </w:r>
      </w:hyperlink>
    </w:p>
    <w:p>
      <w:pPr>
        <w:pStyle w:val="TOC3"/>
        <w:rPr>
          <w:rFonts w:ascii="Calibri" w:hAnsi="Calibr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111</w:t>
        </w:r>
        <w:r>
          <w:fldChar w:fldCharType="end"/>
        </w:r>
      </w:hyperlink>
    </w:p>
    <w:p>
      <w:pPr>
        <w:pStyle w:val="TOC1"/>
        <w:rPr>
          <w:rFonts w:ascii="Calibri" w:hAnsi="Calibr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113</w:t>
        </w:r>
        <w:r>
          <w:fldChar w:fldCharType="end"/>
        </w:r>
      </w:hyperlink>
    </w:p>
    <w:p>
      <w:pPr>
        <w:pStyle w:val="TOC2"/>
        <w:rPr>
          <w:rFonts w:ascii="Calibri" w:hAnsi="Calibr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113</w:t>
        </w:r>
        <w:r>
          <w:fldChar w:fldCharType="end"/>
        </w:r>
      </w:hyperlink>
    </w:p>
    <w:p>
      <w:pPr>
        <w:pStyle w:val="TOC2"/>
        <w:rPr>
          <w:rFonts w:ascii="Calibri" w:hAnsi="Calibr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119</w:t>
        </w:r>
        <w:r>
          <w:fldChar w:fldCharType="end"/>
        </w:r>
      </w:hyperlink>
    </w:p>
    <w:p>
      <w:pPr>
        <w:pStyle w:val="TOC3"/>
        <w:rPr>
          <w:rFonts w:ascii="Calibri" w:hAnsi="Calibr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119</w:t>
        </w:r>
        <w:r>
          <w:fldChar w:fldCharType="end"/>
        </w:r>
      </w:hyperlink>
    </w:p>
    <w:p>
      <w:pPr>
        <w:pStyle w:val="TOC3"/>
        <w:rPr>
          <w:rFonts w:ascii="Calibri" w:hAnsi="Calibr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120</w:t>
        </w:r>
        <w:r>
          <w:fldChar w:fldCharType="end"/>
        </w:r>
      </w:hyperlink>
    </w:p>
    <w:p>
      <w:pPr>
        <w:pStyle w:val="TOC3"/>
        <w:rPr>
          <w:rFonts w:ascii="Calibri" w:hAnsi="Calibr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122</w:t>
        </w:r>
        <w:r>
          <w:fldChar w:fldCharType="end"/>
        </w:r>
      </w:hyperlink>
    </w:p>
    <w:p>
      <w:pPr>
        <w:pStyle w:val="TOC3"/>
        <w:rPr>
          <w:rFonts w:ascii="Calibri" w:hAnsi="Calibr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124</w:t>
        </w:r>
        <w:r>
          <w:fldChar w:fldCharType="end"/>
        </w:r>
      </w:hyperlink>
    </w:p>
    <w:p>
      <w:pPr>
        <w:pStyle w:val="TOC3"/>
        <w:rPr>
          <w:rFonts w:ascii="Calibri" w:hAnsi="Calibr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128</w:t>
        </w:r>
        <w:r>
          <w:fldChar w:fldCharType="end"/>
        </w:r>
      </w:hyperlink>
    </w:p>
    <w:p>
      <w:pPr>
        <w:pStyle w:val="TOC3"/>
        <w:rPr>
          <w:rFonts w:ascii="Calibri" w:hAnsi="Calibr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132</w:t>
        </w:r>
        <w:r>
          <w:fldChar w:fldCharType="end"/>
        </w:r>
      </w:hyperlink>
    </w:p>
    <w:p>
      <w:pPr>
        <w:pStyle w:val="TOC2"/>
        <w:rPr>
          <w:rFonts w:ascii="Calibri" w:hAnsi="Calibr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135</w:t>
        </w:r>
        <w:r>
          <w:fldChar w:fldCharType="end"/>
        </w:r>
      </w:hyperlink>
    </w:p>
    <w:p>
      <w:pPr>
        <w:pStyle w:val="TOC2"/>
        <w:rPr>
          <w:rFonts w:ascii="Calibri" w:hAnsi="Calibr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138</w:t>
        </w:r>
        <w:r>
          <w:fldChar w:fldCharType="end"/>
        </w:r>
      </w:hyperlink>
    </w:p>
    <w:p>
      <w:pPr>
        <w:pStyle w:val="TOC2"/>
        <w:rPr>
          <w:rFonts w:ascii="Calibri" w:hAnsi="Calibr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140</w:t>
        </w:r>
        <w:r>
          <w:fldChar w:fldCharType="end"/>
        </w:r>
      </w:hyperlink>
    </w:p>
    <w:p>
      <w:pPr>
        <w:pStyle w:val="TOC1"/>
        <w:rPr>
          <w:rFonts w:ascii="Calibri" w:hAnsi="Calibr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144</w:t>
        </w:r>
        <w:r>
          <w:fldChar w:fldCharType="end"/>
        </w:r>
      </w:hyperlink>
    </w:p>
    <w:p>
      <w:pPr>
        <w:pStyle w:val="TOC2"/>
        <w:rPr>
          <w:rFonts w:ascii="Calibri" w:hAnsi="Calibr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144</w:t>
        </w:r>
        <w:r>
          <w:fldChar w:fldCharType="end"/>
        </w:r>
      </w:hyperlink>
    </w:p>
    <w:p>
      <w:pPr>
        <w:pStyle w:val="TOC2"/>
        <w:rPr>
          <w:rFonts w:ascii="Calibri" w:hAnsi="Calibr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145</w:t>
        </w:r>
        <w:r>
          <w:fldChar w:fldCharType="end"/>
        </w:r>
      </w:hyperlink>
    </w:p>
    <w:p>
      <w:pPr>
        <w:pStyle w:val="TOC3"/>
        <w:rPr>
          <w:rFonts w:ascii="Calibri" w:hAnsi="Calibr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171</w:t>
        </w:r>
        <w:r>
          <w:fldChar w:fldCharType="end"/>
        </w:r>
      </w:hyperlink>
    </w:p>
    <w:p>
      <w:pPr>
        <w:pStyle w:val="TOC3"/>
        <w:rPr>
          <w:rFonts w:ascii="Calibri" w:hAnsi="Calibr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174</w:t>
        </w:r>
        <w:r>
          <w:fldChar w:fldCharType="end"/>
        </w:r>
      </w:hyperlink>
    </w:p>
    <w:p>
      <w:pPr>
        <w:pStyle w:val="TOC1"/>
        <w:rPr>
          <w:rFonts w:ascii="Calibri" w:hAnsi="Calibr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178</w:t>
        </w:r>
        <w:r>
          <w:fldChar w:fldCharType="end"/>
        </w:r>
      </w:hyperlink>
    </w:p>
    <w:p>
      <w:pPr>
        <w:pStyle w:val="TOC2"/>
        <w:rPr>
          <w:rFonts w:ascii="Calibri" w:hAnsi="Calibr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178</w:t>
        </w:r>
        <w:r>
          <w:fldChar w:fldCharType="end"/>
        </w:r>
      </w:hyperlink>
    </w:p>
    <w:p>
      <w:pPr>
        <w:pStyle w:val="TOC3"/>
        <w:rPr>
          <w:rFonts w:ascii="Calibri" w:hAnsi="Calibr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182</w:t>
        </w:r>
        <w:r>
          <w:fldChar w:fldCharType="end"/>
        </w:r>
      </w:hyperlink>
    </w:p>
    <w:p>
      <w:pPr>
        <w:pStyle w:val="TOC3"/>
        <w:rPr>
          <w:rFonts w:ascii="Calibri" w:hAnsi="Calibr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182</w:t>
        </w:r>
        <w:r>
          <w:fldChar w:fldCharType="end"/>
        </w:r>
      </w:hyperlink>
    </w:p>
    <w:p>
      <w:pPr>
        <w:pStyle w:val="TOC3"/>
        <w:rPr>
          <w:rFonts w:ascii="Calibri" w:hAnsi="Calibr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183</w:t>
        </w:r>
        <w:r>
          <w:fldChar w:fldCharType="end"/>
        </w:r>
      </w:hyperlink>
    </w:p>
    <w:p>
      <w:pPr>
        <w:pStyle w:val="TOC3"/>
        <w:rPr>
          <w:rFonts w:ascii="Calibri" w:hAnsi="Calibr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183</w:t>
        </w:r>
        <w:r>
          <w:fldChar w:fldCharType="end"/>
        </w:r>
      </w:hyperlink>
    </w:p>
    <w:p>
      <w:pPr>
        <w:pStyle w:val="TOC3"/>
        <w:rPr>
          <w:rFonts w:ascii="Calibri" w:hAnsi="Calibr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184</w:t>
        </w:r>
        <w:r>
          <w:fldChar w:fldCharType="end"/>
        </w:r>
      </w:hyperlink>
    </w:p>
    <w:p>
      <w:pPr>
        <w:pStyle w:val="TOC2"/>
        <w:rPr>
          <w:rFonts w:ascii="Calibri" w:hAnsi="Calibr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185</w:t>
        </w:r>
        <w:r>
          <w:fldChar w:fldCharType="end"/>
        </w:r>
      </w:hyperlink>
    </w:p>
    <w:p>
      <w:pPr>
        <w:pStyle w:val="TOC3"/>
        <w:rPr>
          <w:rFonts w:ascii="Calibri" w:hAnsi="Calibr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185</w:t>
        </w:r>
        <w:r>
          <w:fldChar w:fldCharType="end"/>
        </w:r>
      </w:hyperlink>
    </w:p>
    <w:p>
      <w:pPr>
        <w:pStyle w:val="TOC2"/>
        <w:rPr>
          <w:rFonts w:ascii="Calibri" w:hAnsi="Calibr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186</w:t>
        </w:r>
        <w:r>
          <w:fldChar w:fldCharType="end"/>
        </w:r>
      </w:hyperlink>
    </w:p>
    <w:p>
      <w:pPr>
        <w:pStyle w:val="TOC1"/>
        <w:rPr>
          <w:rFonts w:ascii="Calibri" w:hAnsi="Calibr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187</w:t>
        </w:r>
        <w:r>
          <w:fldChar w:fldCharType="end"/>
        </w:r>
      </w:hyperlink>
    </w:p>
    <w:p>
      <w:pPr>
        <w:pStyle w:val="TOC2"/>
        <w:rPr>
          <w:rFonts w:ascii="Calibri" w:hAnsi="Calibr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187</w:t>
        </w:r>
        <w:r>
          <w:fldChar w:fldCharType="end"/>
        </w:r>
      </w:hyperlink>
    </w:p>
    <w:p>
      <w:pPr>
        <w:pStyle w:val="TOC2"/>
        <w:rPr>
          <w:rFonts w:ascii="Calibri" w:hAnsi="Calibr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201</w:t>
        </w:r>
        <w:r>
          <w:fldChar w:fldCharType="end"/>
        </w:r>
      </w:hyperlink>
    </w:p>
    <w:p>
      <w:pPr>
        <w:pStyle w:val="TOC3"/>
        <w:rPr>
          <w:rFonts w:ascii="Calibri" w:hAnsi="Calibr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201</w:t>
        </w:r>
        <w:r>
          <w:fldChar w:fldCharType="end"/>
        </w:r>
      </w:hyperlink>
    </w:p>
    <w:p>
      <w:pPr>
        <w:pStyle w:val="TOC3"/>
        <w:rPr>
          <w:rFonts w:ascii="Calibri" w:hAnsi="Calibr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221</w:t>
        </w:r>
        <w:r>
          <w:fldChar w:fldCharType="end"/>
        </w:r>
      </w:hyperlink>
    </w:p>
    <w:p>
      <w:pPr>
        <w:pStyle w:val="TOC3"/>
        <w:rPr>
          <w:rFonts w:ascii="Calibri" w:hAnsi="Calibr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250</w:t>
        </w:r>
        <w:r>
          <w:fldChar w:fldCharType="end"/>
        </w:r>
      </w:hyperlink>
    </w:p>
    <w:p>
      <w:pPr>
        <w:pStyle w:val="TOC3"/>
        <w:rPr>
          <w:rFonts w:ascii="Calibri" w:hAnsi="Calibr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324</w:t>
        </w:r>
        <w:r>
          <w:fldChar w:fldCharType="end"/>
        </w:r>
      </w:hyperlink>
    </w:p>
    <w:p>
      <w:pPr>
        <w:pStyle w:val="TOC3"/>
        <w:rPr>
          <w:rFonts w:ascii="Calibri" w:hAnsi="Calibr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339</w:t>
        </w:r>
        <w:r>
          <w:fldChar w:fldCharType="end"/>
        </w:r>
      </w:hyperlink>
    </w:p>
    <w:p>
      <w:pPr>
        <w:pStyle w:val="TOC3"/>
        <w:rPr>
          <w:rFonts w:ascii="Calibri" w:hAnsi="Calibr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386</w:t>
        </w:r>
        <w:r>
          <w:fldChar w:fldCharType="end"/>
        </w:r>
      </w:hyperlink>
    </w:p>
    <w:p>
      <w:pPr>
        <w:pStyle w:val="TOC3"/>
        <w:rPr>
          <w:rFonts w:ascii="Calibri" w:hAnsi="Calibr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419</w:t>
        </w:r>
        <w:r>
          <w:fldChar w:fldCharType="end"/>
        </w:r>
      </w:hyperlink>
    </w:p>
    <w:p>
      <w:pPr>
        <w:pStyle w:val="TOC3"/>
        <w:rPr>
          <w:rFonts w:ascii="Calibri" w:hAnsi="Calibr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462</w:t>
        </w:r>
        <w:r>
          <w:fldChar w:fldCharType="end"/>
        </w:r>
      </w:hyperlink>
    </w:p>
    <w:p>
      <w:pPr>
        <w:pStyle w:val="TOC3"/>
        <w:rPr>
          <w:rFonts w:ascii="Calibri" w:hAnsi="Calibr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475</w:t>
        </w:r>
        <w:r>
          <w:fldChar w:fldCharType="end"/>
        </w:r>
      </w:hyperlink>
    </w:p>
    <w:p>
      <w:pPr>
        <w:pStyle w:val="TOC3"/>
        <w:rPr>
          <w:rFonts w:ascii="Calibri" w:hAnsi="Calibr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525</w:t>
        </w:r>
        <w:r>
          <w:fldChar w:fldCharType="end"/>
        </w:r>
      </w:hyperlink>
    </w:p>
    <w:p>
      <w:pPr>
        <w:pStyle w:val="TOC3"/>
        <w:rPr>
          <w:rFonts w:ascii="Calibri" w:hAnsi="Calibr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551</w:t>
        </w:r>
        <w:r>
          <w:fldChar w:fldCharType="end"/>
        </w:r>
      </w:hyperlink>
    </w:p>
    <w:p>
      <w:pPr>
        <w:pStyle w:val="TOC3"/>
        <w:rPr>
          <w:rFonts w:ascii="Calibri" w:hAnsi="Calibr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571</w:t>
        </w:r>
        <w:r>
          <w:fldChar w:fldCharType="end"/>
        </w:r>
      </w:hyperlink>
    </w:p>
    <w:p>
      <w:pPr>
        <w:pStyle w:val="TOC3"/>
        <w:rPr>
          <w:rFonts w:ascii="Calibri" w:hAnsi="Calibr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595</w:t>
        </w:r>
        <w:r>
          <w:fldChar w:fldCharType="end"/>
        </w:r>
      </w:hyperlink>
    </w:p>
    <w:p>
      <w:pPr>
        <w:pStyle w:val="TOC3"/>
        <w:rPr>
          <w:rFonts w:ascii="Calibri" w:hAnsi="Calibr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610</w:t>
        </w:r>
        <w:r>
          <w:fldChar w:fldCharType="end"/>
        </w:r>
      </w:hyperlink>
    </w:p>
    <w:p>
      <w:pPr>
        <w:pStyle w:val="TOC3"/>
        <w:rPr>
          <w:rFonts w:ascii="Calibri" w:hAnsi="Calibr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633</w:t>
        </w:r>
        <w:r>
          <w:fldChar w:fldCharType="end"/>
        </w:r>
      </w:hyperlink>
    </w:p>
    <w:p>
      <w:pPr>
        <w:pStyle w:val="TOC3"/>
        <w:rPr>
          <w:rFonts w:ascii="Calibri" w:hAnsi="Calibri"/>
          <w:noProof/>
          <w:sz w:val="22"/>
        </w:rPr>
      </w:pPr>
      <w:hyperlink w:anchor="_Toc256000133" w:history="1">
        <w:r>
          <w:rPr>
            <w:rStyle w:val="Hyperlink"/>
          </w:rPr>
          <w:t>8.2.16.</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_Toc256000133 \h </w:instrText>
        </w:r>
        <w:r>
          <w:fldChar w:fldCharType="separate"/>
        </w:r>
        <w:r>
          <w:t>676</w:t>
        </w:r>
        <w:r>
          <w:fldChar w:fldCharType="end"/>
        </w:r>
      </w:hyperlink>
    </w:p>
    <w:p>
      <w:pPr>
        <w:pStyle w:val="TOC1"/>
        <w:rPr>
          <w:rFonts w:ascii="Calibri" w:hAnsi="Calibri"/>
          <w:noProof/>
          <w:sz w:val="22"/>
        </w:rPr>
      </w:pPr>
      <w:hyperlink w:anchor="_Toc256000134"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_Toc256000134 \h </w:instrText>
        </w:r>
        <w:r>
          <w:fldChar w:fldCharType="separate"/>
        </w:r>
        <w:r>
          <w:t>709</w:t>
        </w:r>
        <w:r>
          <w:fldChar w:fldCharType="end"/>
        </w:r>
      </w:hyperlink>
    </w:p>
    <w:p>
      <w:pPr>
        <w:pStyle w:val="TOC2"/>
        <w:rPr>
          <w:rFonts w:ascii="Calibri" w:hAnsi="Calibri"/>
          <w:noProof/>
          <w:sz w:val="22"/>
        </w:rPr>
      </w:pPr>
      <w:hyperlink w:anchor="_Toc256000135" w:history="1">
        <w:r>
          <w:rPr>
            <w:rStyle w:val="Hyperlink"/>
          </w:rPr>
          <w:t>9.1.</w:t>
        </w:r>
        <w:r>
          <w:rPr>
            <w:rStyle w:val="Hyperlink"/>
          </w:rPr>
          <w:t xml:space="preserve"> </w:t>
        </w:r>
        <w:r>
          <w:rPr>
            <w:rStyle w:val="Hyperlink"/>
          </w:rPr>
          <w:t>Цели и задачи</w:t>
        </w:r>
        <w:r>
          <w:tab/>
        </w:r>
        <w:r>
          <w:fldChar w:fldCharType="begin"/>
        </w:r>
        <w:r>
          <w:instrText xml:space="preserve"> PAGEREF _Toc256000135 \h </w:instrText>
        </w:r>
        <w:r>
          <w:fldChar w:fldCharType="separate"/>
        </w:r>
        <w:r>
          <w:t>709</w:t>
        </w:r>
        <w:r>
          <w:fldChar w:fldCharType="end"/>
        </w:r>
      </w:hyperlink>
    </w:p>
    <w:p>
      <w:pPr>
        <w:pStyle w:val="TOC2"/>
        <w:rPr>
          <w:rFonts w:ascii="Calibri" w:hAnsi="Calibri"/>
          <w:noProof/>
          <w:sz w:val="22"/>
        </w:rPr>
      </w:pPr>
      <w:hyperlink w:anchor="_Toc256000136"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_Toc256000136 \h </w:instrText>
        </w:r>
        <w:r>
          <w:fldChar w:fldCharType="separate"/>
        </w:r>
        <w:r>
          <w:t>710</w:t>
        </w:r>
        <w:r>
          <w:fldChar w:fldCharType="end"/>
        </w:r>
      </w:hyperlink>
    </w:p>
    <w:p>
      <w:pPr>
        <w:pStyle w:val="TOC2"/>
        <w:rPr>
          <w:rFonts w:ascii="Calibri" w:hAnsi="Calibri"/>
          <w:noProof/>
          <w:sz w:val="22"/>
        </w:rPr>
      </w:pPr>
      <w:hyperlink w:anchor="_Toc256000137"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_Toc256000137 \h </w:instrText>
        </w:r>
        <w:r>
          <w:fldChar w:fldCharType="separate"/>
        </w:r>
        <w:r>
          <w:t>712</w:t>
        </w:r>
        <w:r>
          <w:fldChar w:fldCharType="end"/>
        </w:r>
      </w:hyperlink>
    </w:p>
    <w:p>
      <w:pPr>
        <w:pStyle w:val="TOC2"/>
        <w:rPr>
          <w:rFonts w:ascii="Calibri" w:hAnsi="Calibri"/>
          <w:noProof/>
          <w:sz w:val="22"/>
        </w:rPr>
      </w:pPr>
      <w:hyperlink w:anchor="_Toc256000138"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_Toc256000138 \h </w:instrText>
        </w:r>
        <w:r>
          <w:fldChar w:fldCharType="separate"/>
        </w:r>
        <w:r>
          <w:t>716</w:t>
        </w:r>
        <w:r>
          <w:fldChar w:fldCharType="end"/>
        </w:r>
      </w:hyperlink>
    </w:p>
    <w:p>
      <w:pPr>
        <w:pStyle w:val="TOC2"/>
        <w:rPr>
          <w:rFonts w:ascii="Calibri" w:hAnsi="Calibri"/>
          <w:noProof/>
          <w:sz w:val="22"/>
        </w:rPr>
      </w:pPr>
      <w:hyperlink w:anchor="_Toc256000139" w:history="1">
        <w:r>
          <w:rPr>
            <w:rStyle w:val="Hyperlink"/>
          </w:rPr>
          <w:t>9.5.</w:t>
        </w:r>
        <w:r>
          <w:rPr>
            <w:rStyle w:val="Hyperlink"/>
          </w:rPr>
          <w:t xml:space="preserve"> </w:t>
        </w:r>
        <w:r>
          <w:rPr>
            <w:rStyle w:val="Hyperlink"/>
          </w:rPr>
          <w:t>График</w:t>
        </w:r>
        <w:r>
          <w:tab/>
        </w:r>
        <w:r>
          <w:fldChar w:fldCharType="begin"/>
        </w:r>
        <w:r>
          <w:instrText xml:space="preserve"> PAGEREF _Toc256000139 \h </w:instrText>
        </w:r>
        <w:r>
          <w:fldChar w:fldCharType="separate"/>
        </w:r>
        <w:r>
          <w:t>718</w:t>
        </w:r>
        <w:r>
          <w:fldChar w:fldCharType="end"/>
        </w:r>
      </w:hyperlink>
    </w:p>
    <w:p>
      <w:pPr>
        <w:pStyle w:val="TOC2"/>
        <w:rPr>
          <w:rFonts w:ascii="Calibri" w:hAnsi="Calibri"/>
          <w:noProof/>
          <w:sz w:val="22"/>
        </w:rPr>
      </w:pPr>
      <w:hyperlink w:anchor="_Toc256000140" w:history="1">
        <w:r>
          <w:rPr>
            <w:rStyle w:val="Hyperlink"/>
          </w:rPr>
          <w:t>9.6.</w:t>
        </w:r>
        <w:r>
          <w:rPr>
            <w:rStyle w:val="Hyperlink"/>
          </w:rPr>
          <w:t xml:space="preserve"> </w:t>
        </w:r>
        <w:r>
          <w:rPr>
            <w:rStyle w:val="Hyperlink"/>
          </w:rPr>
          <w:t>Комуникация</w:t>
        </w:r>
        <w:r>
          <w:tab/>
        </w:r>
        <w:r>
          <w:fldChar w:fldCharType="begin"/>
        </w:r>
        <w:r>
          <w:instrText xml:space="preserve"> PAGEREF _Toc256000140 \h </w:instrText>
        </w:r>
        <w:r>
          <w:fldChar w:fldCharType="separate"/>
        </w:r>
        <w:r>
          <w:t>719</w:t>
        </w:r>
        <w:r>
          <w:fldChar w:fldCharType="end"/>
        </w:r>
      </w:hyperlink>
    </w:p>
    <w:p>
      <w:pPr>
        <w:pStyle w:val="TOC2"/>
        <w:rPr>
          <w:rFonts w:ascii="Calibri" w:hAnsi="Calibri"/>
          <w:noProof/>
          <w:sz w:val="22"/>
        </w:rPr>
      </w:pPr>
      <w:hyperlink w:anchor="_Toc256000141" w:history="1">
        <w:r>
          <w:rPr>
            <w:rStyle w:val="Hyperlink"/>
          </w:rPr>
          <w:t>9.7.</w:t>
        </w:r>
        <w:r>
          <w:rPr>
            <w:rStyle w:val="Hyperlink"/>
          </w:rPr>
          <w:t xml:space="preserve"> </w:t>
        </w:r>
        <w:r>
          <w:rPr>
            <w:rStyle w:val="Hyperlink"/>
          </w:rPr>
          <w:t>Ресурси</w:t>
        </w:r>
        <w:r>
          <w:tab/>
        </w:r>
        <w:r>
          <w:fldChar w:fldCharType="begin"/>
        </w:r>
        <w:r>
          <w:instrText xml:space="preserve"> PAGEREF _Toc256000141 \h </w:instrText>
        </w:r>
        <w:r>
          <w:fldChar w:fldCharType="separate"/>
        </w:r>
        <w:r>
          <w:t>720</w:t>
        </w:r>
        <w:r>
          <w:fldChar w:fldCharType="end"/>
        </w:r>
      </w:hyperlink>
    </w:p>
    <w:p>
      <w:pPr>
        <w:pStyle w:val="TOC1"/>
        <w:rPr>
          <w:rFonts w:ascii="Calibri" w:hAnsi="Calibri"/>
          <w:noProof/>
          <w:sz w:val="22"/>
        </w:rPr>
      </w:pPr>
      <w:hyperlink w:anchor="_Toc256000142"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_Toc256000142 \h </w:instrText>
        </w:r>
        <w:r>
          <w:fldChar w:fldCharType="separate"/>
        </w:r>
        <w:r>
          <w:t>722</w:t>
        </w:r>
        <w:r>
          <w:fldChar w:fldCharType="end"/>
        </w:r>
      </w:hyperlink>
    </w:p>
    <w:p>
      <w:pPr>
        <w:pStyle w:val="TOC2"/>
        <w:rPr>
          <w:rFonts w:ascii="Calibri" w:hAnsi="Calibri"/>
          <w:noProof/>
          <w:sz w:val="22"/>
        </w:rPr>
      </w:pPr>
      <w:hyperlink w:anchor="_Toc256000143"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_Toc256000143 \h </w:instrText>
        </w:r>
        <w:r>
          <w:fldChar w:fldCharType="separate"/>
        </w:r>
        <w:r>
          <w:t>722</w:t>
        </w:r>
        <w:r>
          <w:fldChar w:fldCharType="end"/>
        </w:r>
      </w:hyperlink>
    </w:p>
    <w:p>
      <w:pPr>
        <w:pStyle w:val="TOC2"/>
        <w:rPr>
          <w:rFonts w:ascii="Calibri" w:hAnsi="Calibri"/>
          <w:noProof/>
          <w:sz w:val="22"/>
        </w:rPr>
      </w:pPr>
      <w:hyperlink w:anchor="_Toc256000144"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_Toc256000144 \h </w:instrText>
        </w:r>
        <w:r>
          <w:fldChar w:fldCharType="separate"/>
        </w:r>
        <w:r>
          <w:t>723</w:t>
        </w:r>
        <w:r>
          <w:fldChar w:fldCharType="end"/>
        </w:r>
      </w:hyperlink>
    </w:p>
    <w:p>
      <w:pPr>
        <w:pStyle w:val="TOC2"/>
        <w:rPr>
          <w:rFonts w:ascii="Calibri" w:hAnsi="Calibri"/>
          <w:noProof/>
          <w:sz w:val="22"/>
        </w:rPr>
      </w:pPr>
      <w:hyperlink w:anchor="_Toc256000145" w:history="1">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_Toc256000145 \h </w:instrText>
        </w:r>
        <w:r>
          <w:fldChar w:fldCharType="separate"/>
        </w:r>
        <w:r>
          <w:t>724</w:t>
        </w:r>
        <w:r>
          <w:fldChar w:fldCharType="end"/>
        </w:r>
      </w:hyperlink>
    </w:p>
    <w:p>
      <w:pPr>
        <w:pStyle w:val="TOC3"/>
        <w:rPr>
          <w:rFonts w:ascii="Calibri" w:hAnsi="Calibri"/>
          <w:noProof/>
          <w:sz w:val="22"/>
        </w:rPr>
      </w:pPr>
      <w:hyperlink w:anchor="_Toc256000146"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_Toc256000146 \h </w:instrText>
        </w:r>
        <w:r>
          <w:fldChar w:fldCharType="separate"/>
        </w:r>
        <w:r>
          <w:t>724</w:t>
        </w:r>
        <w:r>
          <w:fldChar w:fldCharType="end"/>
        </w:r>
      </w:hyperlink>
    </w:p>
    <w:p>
      <w:pPr>
        <w:pStyle w:val="TOC3"/>
        <w:rPr>
          <w:rFonts w:ascii="Calibri" w:hAnsi="Calibri"/>
          <w:noProof/>
          <w:sz w:val="22"/>
        </w:rPr>
      </w:pPr>
      <w:hyperlink w:anchor="_Toc256000147"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_Toc256000147 \h </w:instrText>
        </w:r>
        <w:r>
          <w:fldChar w:fldCharType="separate"/>
        </w:r>
        <w:r>
          <w:t>726</w:t>
        </w:r>
        <w:r>
          <w:fldChar w:fldCharType="end"/>
        </w:r>
      </w:hyperlink>
    </w:p>
    <w:p>
      <w:pPr>
        <w:pStyle w:val="TOC3"/>
        <w:rPr>
          <w:rFonts w:ascii="Calibri" w:hAnsi="Calibri"/>
          <w:noProof/>
          <w:sz w:val="22"/>
        </w:rPr>
      </w:pPr>
      <w:hyperlink w:anchor="_Toc256000148"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_Toc256000148 \h </w:instrText>
        </w:r>
        <w:r>
          <w:fldChar w:fldCharType="separate"/>
        </w:r>
        <w:r>
          <w:t>728</w:t>
        </w:r>
        <w:r>
          <w:fldChar w:fldCharType="end"/>
        </w:r>
      </w:hyperlink>
    </w:p>
    <w:p>
      <w:pPr>
        <w:pStyle w:val="TOC3"/>
        <w:rPr>
          <w:rFonts w:ascii="Calibri" w:hAnsi="Calibri"/>
          <w:noProof/>
          <w:sz w:val="22"/>
        </w:rPr>
      </w:pPr>
      <w:hyperlink w:anchor="_Toc256000149"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_Toc256000149 \h </w:instrText>
        </w:r>
        <w:r>
          <w:fldChar w:fldCharType="separate"/>
        </w:r>
        <w:r>
          <w:t>730</w:t>
        </w:r>
        <w:r>
          <w:fldChar w:fldCharType="end"/>
        </w:r>
      </w:hyperlink>
    </w:p>
    <w:p>
      <w:pPr>
        <w:pStyle w:val="TOC3"/>
        <w:rPr>
          <w:rFonts w:ascii="Calibri" w:hAnsi="Calibri"/>
          <w:noProof/>
          <w:sz w:val="22"/>
        </w:rPr>
      </w:pPr>
      <w:hyperlink w:anchor="_Toc256000150"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_Toc256000150 \h </w:instrText>
        </w:r>
        <w:r>
          <w:fldChar w:fldCharType="separate"/>
        </w:r>
        <w:r>
          <w:t>731</w:t>
        </w:r>
        <w:r>
          <w:fldChar w:fldCharType="end"/>
        </w:r>
      </w:hyperlink>
    </w:p>
    <w:p>
      <w:pPr>
        <w:pStyle w:val="TOC3"/>
        <w:rPr>
          <w:rFonts w:ascii="Calibri" w:hAnsi="Calibri"/>
          <w:noProof/>
          <w:sz w:val="22"/>
        </w:rPr>
      </w:pPr>
      <w:hyperlink w:anchor="_Toc256000151"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_Toc256000151 \h </w:instrText>
        </w:r>
        <w:r>
          <w:fldChar w:fldCharType="separate"/>
        </w:r>
        <w:r>
          <w:t>733</w:t>
        </w:r>
        <w:r>
          <w:fldChar w:fldCharType="end"/>
        </w:r>
      </w:hyperlink>
    </w:p>
    <w:p>
      <w:pPr>
        <w:pStyle w:val="TOC3"/>
        <w:rPr>
          <w:rFonts w:ascii="Calibri" w:hAnsi="Calibri"/>
          <w:noProof/>
          <w:sz w:val="22"/>
        </w:rPr>
      </w:pPr>
      <w:hyperlink w:anchor="_Toc256000152"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_Toc256000152 \h </w:instrText>
        </w:r>
        <w:r>
          <w:fldChar w:fldCharType="separate"/>
        </w:r>
        <w:r>
          <w:t>734</w:t>
        </w:r>
        <w:r>
          <w:fldChar w:fldCharType="end"/>
        </w:r>
      </w:hyperlink>
    </w:p>
    <w:p>
      <w:pPr>
        <w:pStyle w:val="TOC3"/>
        <w:rPr>
          <w:rFonts w:ascii="Calibri" w:hAnsi="Calibri"/>
          <w:noProof/>
          <w:sz w:val="22"/>
        </w:rPr>
      </w:pPr>
      <w:hyperlink w:anchor="_Toc256000153"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_Toc256000153 \h </w:instrText>
        </w:r>
        <w:r>
          <w:fldChar w:fldCharType="separate"/>
        </w:r>
        <w:r>
          <w:t>736</w:t>
        </w:r>
        <w:r>
          <w:fldChar w:fldCharType="end"/>
        </w:r>
      </w:hyperlink>
    </w:p>
    <w:p>
      <w:pPr>
        <w:pStyle w:val="TOC3"/>
        <w:rPr>
          <w:rFonts w:ascii="Calibri" w:hAnsi="Calibri"/>
          <w:noProof/>
          <w:sz w:val="22"/>
        </w:rPr>
      </w:pPr>
      <w:hyperlink w:anchor="_Toc256000154"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_Toc256000154 \h </w:instrText>
        </w:r>
        <w:r>
          <w:fldChar w:fldCharType="separate"/>
        </w:r>
        <w:r>
          <w:t>738</w:t>
        </w:r>
        <w:r>
          <w:fldChar w:fldCharType="end"/>
        </w:r>
      </w:hyperlink>
    </w:p>
    <w:p>
      <w:pPr>
        <w:pStyle w:val="TOC3"/>
        <w:rPr>
          <w:rFonts w:ascii="Calibri" w:hAnsi="Calibri"/>
          <w:noProof/>
          <w:sz w:val="22"/>
        </w:rPr>
      </w:pPr>
      <w:hyperlink w:anchor="_Toc256000155"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_Toc256000155 \h </w:instrText>
        </w:r>
        <w:r>
          <w:fldChar w:fldCharType="separate"/>
        </w:r>
        <w:r>
          <w:t>740</w:t>
        </w:r>
        <w:r>
          <w:fldChar w:fldCharType="end"/>
        </w:r>
      </w:hyperlink>
    </w:p>
    <w:p>
      <w:pPr>
        <w:pStyle w:val="TOC3"/>
        <w:rPr>
          <w:rFonts w:ascii="Calibri" w:hAnsi="Calibri"/>
          <w:noProof/>
          <w:sz w:val="22"/>
        </w:rPr>
      </w:pPr>
      <w:hyperlink w:anchor="_Toc256000156"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_Toc256000156 \h </w:instrText>
        </w:r>
        <w:r>
          <w:fldChar w:fldCharType="separate"/>
        </w:r>
        <w:r>
          <w:t>742</w:t>
        </w:r>
        <w:r>
          <w:fldChar w:fldCharType="end"/>
        </w:r>
      </w:hyperlink>
    </w:p>
    <w:p>
      <w:pPr>
        <w:pStyle w:val="TOC3"/>
        <w:rPr>
          <w:rFonts w:ascii="Calibri" w:hAnsi="Calibri"/>
          <w:noProof/>
          <w:sz w:val="22"/>
        </w:rPr>
      </w:pPr>
      <w:hyperlink w:anchor="_Toc256000157"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_Toc256000157 \h </w:instrText>
        </w:r>
        <w:r>
          <w:fldChar w:fldCharType="separate"/>
        </w:r>
        <w:r>
          <w:t>744</w:t>
        </w:r>
        <w:r>
          <w:fldChar w:fldCharType="end"/>
        </w:r>
      </w:hyperlink>
    </w:p>
    <w:p>
      <w:pPr>
        <w:pStyle w:val="TOC3"/>
        <w:rPr>
          <w:rFonts w:ascii="Calibri" w:hAnsi="Calibri"/>
          <w:noProof/>
          <w:sz w:val="22"/>
        </w:rPr>
      </w:pPr>
      <w:hyperlink w:anchor="_Toc256000158"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_Toc256000158 \h </w:instrText>
        </w:r>
        <w:r>
          <w:fldChar w:fldCharType="separate"/>
        </w:r>
        <w:r>
          <w:t>746</w:t>
        </w:r>
        <w:r>
          <w:fldChar w:fldCharType="end"/>
        </w:r>
      </w:hyperlink>
    </w:p>
    <w:p>
      <w:pPr>
        <w:pStyle w:val="TOC3"/>
        <w:rPr>
          <w:rFonts w:ascii="Calibri" w:hAnsi="Calibri"/>
          <w:noProof/>
          <w:sz w:val="22"/>
        </w:rPr>
      </w:pPr>
      <w:hyperlink w:anchor="_Toc256000159"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_Toc256000159 \h </w:instrText>
        </w:r>
        <w:r>
          <w:fldChar w:fldCharType="separate"/>
        </w:r>
        <w:r>
          <w:t>747</w:t>
        </w:r>
        <w:r>
          <w:fldChar w:fldCharType="end"/>
        </w:r>
      </w:hyperlink>
    </w:p>
    <w:p>
      <w:pPr>
        <w:pStyle w:val="TOC3"/>
        <w:rPr>
          <w:rFonts w:ascii="Calibri" w:hAnsi="Calibri"/>
          <w:noProof/>
          <w:sz w:val="22"/>
        </w:rPr>
      </w:pPr>
      <w:hyperlink w:anchor="_Toc256000160"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_Toc256000160 \h </w:instrText>
        </w:r>
        <w:r>
          <w:fldChar w:fldCharType="separate"/>
        </w:r>
        <w:r>
          <w:t>749</w:t>
        </w:r>
        <w:r>
          <w:fldChar w:fldCharType="end"/>
        </w:r>
      </w:hyperlink>
    </w:p>
    <w:p>
      <w:pPr>
        <w:pStyle w:val="TOC3"/>
        <w:rPr>
          <w:rFonts w:ascii="Calibri" w:hAnsi="Calibri"/>
          <w:noProof/>
          <w:sz w:val="22"/>
        </w:rPr>
      </w:pPr>
      <w:hyperlink w:anchor="_Toc256000161"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_Toc256000161 \h </w:instrText>
        </w:r>
        <w:r>
          <w:fldChar w:fldCharType="separate"/>
        </w:r>
        <w:r>
          <w:t>751</w:t>
        </w:r>
        <w:r>
          <w:fldChar w:fldCharType="end"/>
        </w:r>
      </w:hyperlink>
    </w:p>
    <w:p>
      <w:pPr>
        <w:pStyle w:val="TOC3"/>
        <w:rPr>
          <w:rFonts w:ascii="Calibri" w:hAnsi="Calibri"/>
          <w:noProof/>
          <w:sz w:val="22"/>
        </w:rPr>
      </w:pPr>
      <w:hyperlink w:anchor="_Toc256000162" w:history="1">
        <w:r>
          <w:rPr>
            <w:rStyle w:val="Hyperlink"/>
          </w:rPr>
          <w:t>10.3.17.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_Toc256000162 \h </w:instrText>
        </w:r>
        <w:r>
          <w:fldChar w:fldCharType="separate"/>
        </w:r>
        <w:r>
          <w:t>752</w:t>
        </w:r>
        <w:r>
          <w:fldChar w:fldCharType="end"/>
        </w:r>
      </w:hyperlink>
    </w:p>
    <w:p>
      <w:pPr>
        <w:pStyle w:val="TOC2"/>
        <w:rPr>
          <w:rFonts w:ascii="Calibri" w:hAnsi="Calibri"/>
          <w:noProof/>
          <w:sz w:val="22"/>
        </w:rPr>
      </w:pPr>
      <w:hyperlink w:anchor="_Toc256000163"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_Toc256000163 \h </w:instrText>
        </w:r>
        <w:r>
          <w:fldChar w:fldCharType="separate"/>
        </w:r>
        <w:r>
          <w:t>753</w:t>
        </w:r>
        <w:r>
          <w:fldChar w:fldCharType="end"/>
        </w:r>
      </w:hyperlink>
    </w:p>
    <w:p>
      <w:pPr>
        <w:pStyle w:val="TOC1"/>
        <w:rPr>
          <w:rFonts w:ascii="Calibri" w:hAnsi="Calibri"/>
          <w:noProof/>
          <w:sz w:val="22"/>
        </w:rPr>
      </w:pPr>
      <w:hyperlink w:anchor="_Toc256000164"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_Toc256000164 \h </w:instrText>
        </w:r>
        <w:r>
          <w:fldChar w:fldCharType="separate"/>
        </w:r>
        <w:r>
          <w:t>755</w:t>
        </w:r>
        <w:r>
          <w:fldChar w:fldCharType="end"/>
        </w:r>
      </w:hyperlink>
    </w:p>
    <w:p>
      <w:pPr>
        <w:pStyle w:val="TOC2"/>
        <w:rPr>
          <w:rFonts w:ascii="Calibri" w:hAnsi="Calibri"/>
          <w:noProof/>
          <w:sz w:val="22"/>
        </w:rPr>
      </w:pPr>
      <w:hyperlink w:anchor="_Toc256000165"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_Toc256000165 \h </w:instrText>
        </w:r>
        <w:r>
          <w:fldChar w:fldCharType="separate"/>
        </w:r>
        <w:r>
          <w:t>755</w:t>
        </w:r>
        <w:r>
          <w:fldChar w:fldCharType="end"/>
        </w:r>
      </w:hyperlink>
    </w:p>
    <w:p>
      <w:pPr>
        <w:pStyle w:val="TOC3"/>
        <w:rPr>
          <w:rFonts w:ascii="Calibri" w:hAnsi="Calibri"/>
          <w:noProof/>
          <w:sz w:val="22"/>
        </w:rPr>
      </w:pPr>
      <w:hyperlink w:anchor="_Toc256000166"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_Toc256000166 \h </w:instrText>
        </w:r>
        <w:r>
          <w:fldChar w:fldCharType="separate"/>
        </w:r>
        <w:r>
          <w:t>755</w:t>
        </w:r>
        <w:r>
          <w:fldChar w:fldCharType="end"/>
        </w:r>
      </w:hyperlink>
    </w:p>
    <w:p>
      <w:pPr>
        <w:pStyle w:val="TOC3"/>
        <w:rPr>
          <w:rFonts w:ascii="Calibri" w:hAnsi="Calibri"/>
          <w:noProof/>
          <w:sz w:val="22"/>
        </w:rPr>
      </w:pPr>
      <w:hyperlink w:anchor="_Toc256000167"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_Toc256000167 \h </w:instrText>
        </w:r>
        <w:r>
          <w:fldChar w:fldCharType="separate"/>
        </w:r>
        <w:r>
          <w:t>758</w:t>
        </w:r>
        <w:r>
          <w:fldChar w:fldCharType="end"/>
        </w:r>
      </w:hyperlink>
    </w:p>
    <w:p>
      <w:pPr>
        <w:pStyle w:val="TOC3"/>
        <w:rPr>
          <w:rFonts w:ascii="Calibri" w:hAnsi="Calibri"/>
          <w:noProof/>
          <w:sz w:val="22"/>
        </w:rPr>
      </w:pPr>
      <w:hyperlink w:anchor="_Toc256000168"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_Toc256000168 \h </w:instrText>
        </w:r>
        <w:r>
          <w:fldChar w:fldCharType="separate"/>
        </w:r>
        <w:r>
          <w:t>762</w:t>
        </w:r>
        <w:r>
          <w:fldChar w:fldCharType="end"/>
        </w:r>
      </w:hyperlink>
    </w:p>
    <w:p>
      <w:pPr>
        <w:pStyle w:val="TOC3"/>
        <w:rPr>
          <w:rFonts w:ascii="Calibri" w:hAnsi="Calibri"/>
          <w:noProof/>
          <w:sz w:val="22"/>
        </w:rPr>
      </w:pPr>
      <w:hyperlink w:anchor="_Toc256000169"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_Toc256000169 \h </w:instrText>
        </w:r>
        <w:r>
          <w:fldChar w:fldCharType="separate"/>
        </w:r>
        <w:r>
          <w:t>765</w:t>
        </w:r>
        <w:r>
          <w:fldChar w:fldCharType="end"/>
        </w:r>
      </w:hyperlink>
    </w:p>
    <w:p>
      <w:pPr>
        <w:pStyle w:val="TOC3"/>
        <w:rPr>
          <w:rFonts w:ascii="Calibri" w:hAnsi="Calibri"/>
          <w:noProof/>
          <w:sz w:val="22"/>
        </w:rPr>
      </w:pPr>
      <w:hyperlink w:anchor="_Toc256000170"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_Toc256000170 \h </w:instrText>
        </w:r>
        <w:r>
          <w:fldChar w:fldCharType="separate"/>
        </w:r>
        <w:r>
          <w:t>770</w:t>
        </w:r>
        <w:r>
          <w:fldChar w:fldCharType="end"/>
        </w:r>
      </w:hyperlink>
    </w:p>
    <w:p>
      <w:pPr>
        <w:pStyle w:val="TOC3"/>
        <w:rPr>
          <w:rFonts w:ascii="Calibri" w:hAnsi="Calibri"/>
          <w:noProof/>
          <w:sz w:val="22"/>
        </w:rPr>
      </w:pPr>
      <w:hyperlink w:anchor="_Toc256000171"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_Toc256000171 \h </w:instrText>
        </w:r>
        <w:r>
          <w:fldChar w:fldCharType="separate"/>
        </w:r>
        <w:r>
          <w:t>776</w:t>
        </w:r>
        <w:r>
          <w:fldChar w:fldCharType="end"/>
        </w:r>
      </w:hyperlink>
    </w:p>
    <w:p>
      <w:pPr>
        <w:pStyle w:val="TOC2"/>
        <w:rPr>
          <w:rFonts w:ascii="Calibri" w:hAnsi="Calibri"/>
          <w:noProof/>
          <w:sz w:val="22"/>
        </w:rPr>
      </w:pPr>
      <w:hyperlink w:anchor="_Toc256000172"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_Toc256000172 \h </w:instrText>
        </w:r>
        <w:r>
          <w:fldChar w:fldCharType="separate"/>
        </w:r>
        <w:r>
          <w:t>781</w:t>
        </w:r>
        <w:r>
          <w:fldChar w:fldCharType="end"/>
        </w:r>
      </w:hyperlink>
    </w:p>
    <w:p>
      <w:pPr>
        <w:pStyle w:val="TOC2"/>
        <w:rPr>
          <w:rFonts w:ascii="Calibri" w:hAnsi="Calibri"/>
          <w:noProof/>
          <w:sz w:val="22"/>
        </w:rPr>
      </w:pPr>
      <w:hyperlink w:anchor="_Toc256000173"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_Toc256000173 \h </w:instrText>
        </w:r>
        <w:r>
          <w:fldChar w:fldCharType="separate"/>
        </w:r>
        <w:r>
          <w:t>787</w:t>
        </w:r>
        <w:r>
          <w:fldChar w:fldCharType="end"/>
        </w:r>
      </w:hyperlink>
    </w:p>
    <w:p>
      <w:pPr>
        <w:pStyle w:val="TOC2"/>
        <w:rPr>
          <w:rFonts w:ascii="Calibri" w:hAnsi="Calibri"/>
          <w:noProof/>
          <w:sz w:val="22"/>
        </w:rPr>
      </w:pPr>
      <w:hyperlink w:anchor="_Toc256000174"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_Toc256000174 \h </w:instrText>
        </w:r>
        <w:r>
          <w:fldChar w:fldCharType="separate"/>
        </w:r>
        <w:r>
          <w:t>796</w:t>
        </w:r>
        <w:r>
          <w:fldChar w:fldCharType="end"/>
        </w:r>
      </w:hyperlink>
    </w:p>
    <w:p>
      <w:pPr>
        <w:pStyle w:val="TOC3"/>
        <w:rPr>
          <w:rFonts w:ascii="Calibri" w:hAnsi="Calibri"/>
          <w:noProof/>
          <w:sz w:val="22"/>
        </w:rPr>
      </w:pPr>
      <w:hyperlink w:anchor="_Toc256000175"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_Toc256000175 \h </w:instrText>
        </w:r>
        <w:r>
          <w:fldChar w:fldCharType="separate"/>
        </w:r>
        <w:r>
          <w:t>796</w:t>
        </w:r>
        <w:r>
          <w:fldChar w:fldCharType="end"/>
        </w:r>
      </w:hyperlink>
    </w:p>
    <w:p>
      <w:pPr>
        <w:pStyle w:val="TOC3"/>
        <w:rPr>
          <w:rFonts w:ascii="Calibri" w:hAnsi="Calibri"/>
          <w:noProof/>
          <w:sz w:val="22"/>
        </w:rPr>
      </w:pPr>
      <w:hyperlink w:anchor="_Toc256000176"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_Toc256000176 \h </w:instrText>
        </w:r>
        <w:r>
          <w:fldChar w:fldCharType="separate"/>
        </w:r>
        <w:r>
          <w:t>800</w:t>
        </w:r>
        <w:r>
          <w:fldChar w:fldCharType="end"/>
        </w:r>
      </w:hyperlink>
    </w:p>
    <w:p>
      <w:pPr>
        <w:pStyle w:val="TOC2"/>
        <w:rPr>
          <w:rFonts w:ascii="Calibri" w:hAnsi="Calibri"/>
          <w:noProof/>
          <w:sz w:val="22"/>
        </w:rPr>
      </w:pPr>
      <w:hyperlink w:anchor="_Toc256000177"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_Toc256000177 \h </w:instrText>
        </w:r>
        <w:r>
          <w:fldChar w:fldCharType="separate"/>
        </w:r>
        <w:r>
          <w:t>801</w:t>
        </w:r>
        <w:r>
          <w:fldChar w:fldCharType="end"/>
        </w:r>
      </w:hyperlink>
    </w:p>
    <w:p>
      <w:pPr>
        <w:pStyle w:val="TOC1"/>
        <w:rPr>
          <w:rFonts w:ascii="Calibri" w:hAnsi="Calibri"/>
          <w:noProof/>
          <w:sz w:val="22"/>
        </w:rPr>
      </w:pPr>
      <w:hyperlink w:anchor="_Toc256000178"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_Toc256000178 \h </w:instrText>
        </w:r>
        <w:r>
          <w:fldChar w:fldCharType="separate"/>
        </w:r>
        <w:r>
          <w:t>802</w:t>
        </w:r>
        <w:r>
          <w:fldChar w:fldCharType="end"/>
        </w:r>
      </w:hyperlink>
    </w:p>
    <w:p>
      <w:pPr>
        <w:pStyle w:val="TOC2"/>
        <w:rPr>
          <w:rFonts w:ascii="Calibri" w:hAnsi="Calibri"/>
          <w:noProof/>
          <w:sz w:val="22"/>
        </w:rPr>
      </w:pPr>
      <w:hyperlink w:anchor="_Toc256000179"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_Toc256000179 \h </w:instrText>
        </w:r>
        <w:r>
          <w:fldChar w:fldCharType="separate"/>
        </w:r>
        <w:r>
          <w:t>802</w:t>
        </w:r>
        <w:r>
          <w:fldChar w:fldCharType="end"/>
        </w:r>
      </w:hyperlink>
    </w:p>
    <w:p>
      <w:pPr>
        <w:pStyle w:val="TOC2"/>
        <w:rPr>
          <w:rFonts w:ascii="Calibri" w:hAnsi="Calibri"/>
          <w:noProof/>
          <w:sz w:val="22"/>
        </w:rPr>
      </w:pPr>
      <w:hyperlink w:anchor="_Toc256000180"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_Toc256000180 \h </w:instrText>
        </w:r>
        <w:r>
          <w:fldChar w:fldCharType="separate"/>
        </w:r>
        <w:r>
          <w:t>803</w:t>
        </w:r>
        <w:r>
          <w:fldChar w:fldCharType="end"/>
        </w:r>
      </w:hyperlink>
    </w:p>
    <w:p>
      <w:pPr>
        <w:pStyle w:val="TOC2"/>
        <w:rPr>
          <w:rFonts w:ascii="Calibri" w:hAnsi="Calibri"/>
          <w:noProof/>
          <w:sz w:val="22"/>
        </w:rPr>
      </w:pPr>
      <w:hyperlink w:anchor="_Toc256000181"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_Toc256000181 \h </w:instrText>
        </w:r>
        <w:r>
          <w:fldChar w:fldCharType="separate"/>
        </w:r>
        <w:r>
          <w:t>803</w:t>
        </w:r>
        <w:r>
          <w:fldChar w:fldCharType="end"/>
        </w:r>
      </w:hyperlink>
    </w:p>
    <w:p>
      <w:pPr>
        <w:pStyle w:val="TOC2"/>
        <w:rPr>
          <w:rFonts w:ascii="Calibri" w:hAnsi="Calibri"/>
          <w:noProof/>
          <w:sz w:val="22"/>
        </w:rPr>
      </w:pPr>
      <w:hyperlink w:anchor="_Toc256000182"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_Toc256000182 \h </w:instrText>
        </w:r>
        <w:r>
          <w:fldChar w:fldCharType="separate"/>
        </w:r>
        <w:r>
          <w:t>803</w:t>
        </w:r>
        <w:r>
          <w:fldChar w:fldCharType="end"/>
        </w:r>
      </w:hyperlink>
    </w:p>
    <w:p>
      <w:pPr>
        <w:pStyle w:val="TOC2"/>
        <w:rPr>
          <w:rFonts w:ascii="Calibri" w:hAnsi="Calibri"/>
          <w:noProof/>
          <w:sz w:val="22"/>
        </w:rPr>
      </w:pPr>
      <w:hyperlink w:anchor="_Toc256000183"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_Toc256000183 \h </w:instrText>
        </w:r>
        <w:r>
          <w:fldChar w:fldCharType="separate"/>
        </w:r>
        <w:r>
          <w:t>803</w:t>
        </w:r>
        <w:r>
          <w:fldChar w:fldCharType="end"/>
        </w:r>
      </w:hyperlink>
    </w:p>
    <w:p>
      <w:pPr>
        <w:pStyle w:val="TOC2"/>
        <w:rPr>
          <w:rFonts w:ascii="Calibri" w:hAnsi="Calibri"/>
          <w:noProof/>
          <w:sz w:val="22"/>
        </w:rPr>
      </w:pPr>
      <w:hyperlink w:anchor="_Toc256000184"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_Toc256000184 \h </w:instrText>
        </w:r>
        <w:r>
          <w:fldChar w:fldCharType="separate"/>
        </w:r>
        <w:r>
          <w:t>804</w:t>
        </w:r>
        <w:r>
          <w:fldChar w:fldCharType="end"/>
        </w:r>
      </w:hyperlink>
    </w:p>
    <w:p>
      <w:pPr>
        <w:pStyle w:val="TOC2"/>
        <w:rPr>
          <w:rFonts w:ascii="Calibri" w:hAnsi="Calibri"/>
          <w:noProof/>
          <w:sz w:val="22"/>
        </w:rPr>
      </w:pPr>
      <w:hyperlink w:anchor="_Toc256000185"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_Toc256000185 \h </w:instrText>
        </w:r>
        <w:r>
          <w:fldChar w:fldCharType="separate"/>
        </w:r>
        <w:r>
          <w:t>804</w:t>
        </w:r>
        <w:r>
          <w:fldChar w:fldCharType="end"/>
        </w:r>
      </w:hyperlink>
    </w:p>
    <w:p>
      <w:pPr>
        <w:pStyle w:val="TOC2"/>
        <w:rPr>
          <w:rFonts w:ascii="Calibri" w:hAnsi="Calibri"/>
          <w:noProof/>
          <w:sz w:val="22"/>
        </w:rPr>
      </w:pPr>
      <w:hyperlink w:anchor="_Toc256000186"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_Toc256000186 \h </w:instrText>
        </w:r>
        <w:r>
          <w:fldChar w:fldCharType="separate"/>
        </w:r>
        <w:r>
          <w:t>804</w:t>
        </w:r>
        <w:r>
          <w:fldChar w:fldCharType="end"/>
        </w:r>
      </w:hyperlink>
    </w:p>
    <w:p>
      <w:pPr>
        <w:pStyle w:val="TOC2"/>
        <w:rPr>
          <w:rFonts w:ascii="Calibri" w:hAnsi="Calibri"/>
          <w:noProof/>
          <w:sz w:val="22"/>
        </w:rPr>
      </w:pPr>
      <w:hyperlink w:anchor="_Toc256000187"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_Toc256000187 \h </w:instrText>
        </w:r>
        <w:r>
          <w:fldChar w:fldCharType="separate"/>
        </w:r>
        <w:r>
          <w:t>804</w:t>
        </w:r>
        <w:r>
          <w:fldChar w:fldCharType="end"/>
        </w:r>
      </w:hyperlink>
    </w:p>
    <w:p>
      <w:pPr>
        <w:pStyle w:val="TOC2"/>
        <w:rPr>
          <w:rFonts w:ascii="Calibri" w:hAnsi="Calibri"/>
          <w:noProof/>
          <w:sz w:val="22"/>
        </w:rPr>
      </w:pPr>
      <w:hyperlink w:anchor="_Toc256000188"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_Toc256000188 \h </w:instrText>
        </w:r>
        <w:r>
          <w:fldChar w:fldCharType="separate"/>
        </w:r>
        <w:r>
          <w:t>804</w:t>
        </w:r>
        <w:r>
          <w:fldChar w:fldCharType="end"/>
        </w:r>
      </w:hyperlink>
    </w:p>
    <w:p>
      <w:pPr>
        <w:pStyle w:val="TOC2"/>
        <w:rPr>
          <w:rFonts w:ascii="Calibri" w:hAnsi="Calibri"/>
          <w:noProof/>
          <w:sz w:val="22"/>
        </w:rPr>
      </w:pPr>
      <w:hyperlink w:anchor="_Toc256000189"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_Toc256000189 \h </w:instrText>
        </w:r>
        <w:r>
          <w:fldChar w:fldCharType="separate"/>
        </w:r>
        <w:r>
          <w:t>805</w:t>
        </w:r>
        <w:r>
          <w:fldChar w:fldCharType="end"/>
        </w:r>
      </w:hyperlink>
    </w:p>
    <w:p>
      <w:pPr>
        <w:pStyle w:val="TOC2"/>
        <w:rPr>
          <w:rFonts w:ascii="Calibri" w:hAnsi="Calibri"/>
          <w:noProof/>
          <w:sz w:val="22"/>
        </w:rPr>
      </w:pPr>
      <w:hyperlink w:anchor="_Toc256000190"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_Toc256000190 \h </w:instrText>
        </w:r>
        <w:r>
          <w:fldChar w:fldCharType="separate"/>
        </w:r>
        <w:r>
          <w:t>805</w:t>
        </w:r>
        <w:r>
          <w:fldChar w:fldCharType="end"/>
        </w:r>
      </w:hyperlink>
    </w:p>
    <w:p>
      <w:pPr>
        <w:pStyle w:val="TOC2"/>
        <w:rPr>
          <w:rFonts w:ascii="Calibri" w:hAnsi="Calibri"/>
          <w:noProof/>
          <w:sz w:val="22"/>
        </w:rPr>
      </w:pPr>
      <w:hyperlink w:anchor="_Toc256000191"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_Toc256000191 \h </w:instrText>
        </w:r>
        <w:r>
          <w:fldChar w:fldCharType="separate"/>
        </w:r>
        <w:r>
          <w:t>805</w:t>
        </w:r>
        <w:r>
          <w:fldChar w:fldCharType="end"/>
        </w:r>
      </w:hyperlink>
    </w:p>
    <w:p>
      <w:pPr>
        <w:pStyle w:val="TOC2"/>
        <w:rPr>
          <w:rFonts w:ascii="Calibri" w:hAnsi="Calibri"/>
          <w:noProof/>
          <w:sz w:val="22"/>
        </w:rPr>
      </w:pPr>
      <w:hyperlink w:anchor="_Toc256000192"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_Toc256000192 \h </w:instrText>
        </w:r>
        <w:r>
          <w:fldChar w:fldCharType="separate"/>
        </w:r>
        <w:r>
          <w:t>805</w:t>
        </w:r>
        <w:r>
          <w:fldChar w:fldCharType="end"/>
        </w:r>
      </w:hyperlink>
    </w:p>
    <w:p>
      <w:pPr>
        <w:pStyle w:val="TOC2"/>
        <w:rPr>
          <w:rFonts w:ascii="Calibri" w:hAnsi="Calibri"/>
          <w:noProof/>
          <w:sz w:val="22"/>
        </w:rPr>
      </w:pPr>
      <w:hyperlink w:anchor="_Toc256000193"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_Toc256000193 \h </w:instrText>
        </w:r>
        <w:r>
          <w:fldChar w:fldCharType="separate"/>
        </w:r>
        <w:r>
          <w:t>806</w:t>
        </w:r>
        <w:r>
          <w:fldChar w:fldCharType="end"/>
        </w:r>
      </w:hyperlink>
    </w:p>
    <w:p>
      <w:pPr>
        <w:pStyle w:val="TOC2"/>
        <w:rPr>
          <w:rFonts w:ascii="Calibri" w:hAnsi="Calibri"/>
          <w:noProof/>
          <w:sz w:val="22"/>
        </w:rPr>
      </w:pPr>
      <w:hyperlink w:anchor="_Toc256000194"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_Toc256000194 \h </w:instrText>
        </w:r>
        <w:r>
          <w:fldChar w:fldCharType="separate"/>
        </w:r>
        <w:r>
          <w:t>806</w:t>
        </w:r>
        <w:r>
          <w:fldChar w:fldCharType="end"/>
        </w:r>
      </w:hyperlink>
    </w:p>
    <w:p>
      <w:pPr>
        <w:pStyle w:val="TOC2"/>
        <w:rPr>
          <w:rFonts w:ascii="Calibri" w:hAnsi="Calibri"/>
          <w:noProof/>
          <w:sz w:val="22"/>
        </w:rPr>
      </w:pPr>
      <w:hyperlink w:anchor="_Toc256000195" w:history="1">
        <w:r>
          <w:rPr>
            <w:rStyle w:val="Hyperlink"/>
          </w:rPr>
          <w:t>12.17.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_Toc256000195 \h </w:instrText>
        </w:r>
        <w:r>
          <w:fldChar w:fldCharType="separate"/>
        </w:r>
        <w:r>
          <w:t>806</w:t>
        </w:r>
        <w:r>
          <w:fldChar w:fldCharType="end"/>
        </w:r>
      </w:hyperlink>
    </w:p>
    <w:p>
      <w:pPr>
        <w:pStyle w:val="TOC1"/>
        <w:rPr>
          <w:rFonts w:ascii="Calibri" w:hAnsi="Calibri"/>
          <w:noProof/>
          <w:sz w:val="22"/>
        </w:rPr>
      </w:pPr>
      <w:hyperlink w:anchor="_Toc256000196"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_Toc256000196 \h </w:instrText>
        </w:r>
        <w:r>
          <w:fldChar w:fldCharType="separate"/>
        </w:r>
        <w:r>
          <w:t>807</w:t>
        </w:r>
        <w:r>
          <w:fldChar w:fldCharType="end"/>
        </w:r>
      </w:hyperlink>
    </w:p>
    <w:p>
      <w:pPr>
        <w:pStyle w:val="TOC2"/>
        <w:rPr>
          <w:rFonts w:ascii="Calibri" w:hAnsi="Calibri"/>
          <w:noProof/>
          <w:sz w:val="22"/>
        </w:rPr>
      </w:pPr>
      <w:hyperlink w:anchor="_Toc256000197"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_Toc256000197 \h </w:instrText>
        </w:r>
        <w:r>
          <w:fldChar w:fldCharType="separate"/>
        </w:r>
        <w:r>
          <w:t>810</w:t>
        </w:r>
        <w:r>
          <w:fldChar w:fldCharType="end"/>
        </w:r>
      </w:hyperlink>
    </w:p>
    <w:p>
      <w:pPr>
        <w:pStyle w:val="TOC2"/>
        <w:rPr>
          <w:rFonts w:ascii="Calibri" w:hAnsi="Calibri"/>
          <w:noProof/>
          <w:sz w:val="22"/>
        </w:rPr>
      </w:pPr>
      <w:hyperlink w:anchor="_Toc256000198"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_Toc256000198 \h </w:instrText>
        </w:r>
        <w:r>
          <w:fldChar w:fldCharType="separate"/>
        </w:r>
        <w:r>
          <w:t>810</w:t>
        </w:r>
        <w:r>
          <w:fldChar w:fldCharType="end"/>
        </w:r>
      </w:hyperlink>
    </w:p>
    <w:p>
      <w:pPr>
        <w:pStyle w:val="TOC2"/>
        <w:rPr>
          <w:rFonts w:ascii="Calibri" w:hAnsi="Calibri"/>
          <w:noProof/>
          <w:sz w:val="22"/>
        </w:rPr>
      </w:pPr>
      <w:hyperlink w:anchor="_Toc256000199"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_Toc256000199 \h </w:instrText>
        </w:r>
        <w:r>
          <w:fldChar w:fldCharType="separate"/>
        </w:r>
        <w:r>
          <w:t>811</w:t>
        </w:r>
        <w:r>
          <w:fldChar w:fldCharType="end"/>
        </w:r>
      </w:hyperlink>
    </w:p>
    <w:p>
      <w:pPr>
        <w:pStyle w:val="TOC2"/>
        <w:rPr>
          <w:rFonts w:ascii="Calibri" w:hAnsi="Calibri"/>
          <w:noProof/>
          <w:sz w:val="22"/>
        </w:rPr>
      </w:pPr>
      <w:hyperlink w:anchor="_Toc256000200"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_Toc256000200 \h </w:instrText>
        </w:r>
        <w:r>
          <w:fldChar w:fldCharType="separate"/>
        </w:r>
        <w:r>
          <w:t>811</w:t>
        </w:r>
        <w:r>
          <w:fldChar w:fldCharType="end"/>
        </w:r>
      </w:hyperlink>
    </w:p>
    <w:p>
      <w:pPr>
        <w:pStyle w:val="TOC2"/>
        <w:rPr>
          <w:rFonts w:ascii="Calibri" w:hAnsi="Calibri"/>
          <w:noProof/>
          <w:sz w:val="22"/>
        </w:rPr>
      </w:pPr>
      <w:hyperlink w:anchor="_Toc256000201"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_Toc256000201 \h </w:instrText>
        </w:r>
        <w:r>
          <w:fldChar w:fldCharType="separate"/>
        </w:r>
        <w:r>
          <w:t>812</w:t>
        </w:r>
        <w:r>
          <w:fldChar w:fldCharType="end"/>
        </w:r>
      </w:hyperlink>
    </w:p>
    <w:p>
      <w:pPr>
        <w:pStyle w:val="TOC2"/>
        <w:rPr>
          <w:rFonts w:ascii="Calibri" w:hAnsi="Calibri"/>
          <w:noProof/>
          <w:sz w:val="22"/>
        </w:rPr>
      </w:pPr>
      <w:hyperlink w:anchor="_Toc256000202"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_Toc256000202 \h </w:instrText>
        </w:r>
        <w:r>
          <w:fldChar w:fldCharType="separate"/>
        </w:r>
        <w:r>
          <w:t>812</w:t>
        </w:r>
        <w:r>
          <w:fldChar w:fldCharType="end"/>
        </w:r>
      </w:hyperlink>
    </w:p>
    <w:p>
      <w:pPr>
        <w:pStyle w:val="TOC2"/>
        <w:rPr>
          <w:rFonts w:ascii="Calibri" w:hAnsi="Calibri"/>
          <w:noProof/>
          <w:sz w:val="22"/>
        </w:rPr>
      </w:pPr>
      <w:hyperlink w:anchor="_Toc256000203"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_Toc256000203 \h </w:instrText>
        </w:r>
        <w:r>
          <w:fldChar w:fldCharType="separate"/>
        </w:r>
        <w:r>
          <w:t>813</w:t>
        </w:r>
        <w:r>
          <w:fldChar w:fldCharType="end"/>
        </w:r>
      </w:hyperlink>
    </w:p>
    <w:p>
      <w:pPr>
        <w:pStyle w:val="TOC2"/>
        <w:rPr>
          <w:rFonts w:ascii="Calibri" w:hAnsi="Calibri"/>
          <w:noProof/>
          <w:sz w:val="22"/>
        </w:rPr>
      </w:pPr>
      <w:hyperlink w:anchor="_Toc256000204"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_Toc256000204 \h </w:instrText>
        </w:r>
        <w:r>
          <w:fldChar w:fldCharType="separate"/>
        </w:r>
        <w:r>
          <w:t>813</w:t>
        </w:r>
        <w:r>
          <w:fldChar w:fldCharType="end"/>
        </w:r>
      </w:hyperlink>
    </w:p>
    <w:p>
      <w:pPr>
        <w:pStyle w:val="TOC2"/>
        <w:rPr>
          <w:rFonts w:ascii="Calibri" w:hAnsi="Calibri"/>
          <w:noProof/>
          <w:sz w:val="22"/>
        </w:rPr>
      </w:pPr>
      <w:hyperlink w:anchor="_Toc256000205"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_Toc256000205 \h </w:instrText>
        </w:r>
        <w:r>
          <w:fldChar w:fldCharType="separate"/>
        </w:r>
        <w:r>
          <w:t>814</w:t>
        </w:r>
        <w:r>
          <w:fldChar w:fldCharType="end"/>
        </w:r>
      </w:hyperlink>
    </w:p>
    <w:p>
      <w:pPr>
        <w:pStyle w:val="TOC2"/>
        <w:rPr>
          <w:rFonts w:ascii="Calibri" w:hAnsi="Calibri"/>
          <w:noProof/>
          <w:sz w:val="22"/>
        </w:rPr>
      </w:pPr>
      <w:hyperlink w:anchor="_Toc256000206"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_Toc256000206 \h </w:instrText>
        </w:r>
        <w:r>
          <w:fldChar w:fldCharType="separate"/>
        </w:r>
        <w:r>
          <w:t>814</w:t>
        </w:r>
        <w:r>
          <w:fldChar w:fldCharType="end"/>
        </w:r>
      </w:hyperlink>
    </w:p>
    <w:p>
      <w:pPr>
        <w:pStyle w:val="TOC2"/>
        <w:rPr>
          <w:rFonts w:ascii="Calibri" w:hAnsi="Calibri"/>
          <w:noProof/>
          <w:sz w:val="22"/>
        </w:rPr>
      </w:pPr>
      <w:hyperlink w:anchor="_Toc256000207"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_Toc256000207 \h </w:instrText>
        </w:r>
        <w:r>
          <w:fldChar w:fldCharType="separate"/>
        </w:r>
        <w:r>
          <w:t>815</w:t>
        </w:r>
        <w:r>
          <w:fldChar w:fldCharType="end"/>
        </w:r>
      </w:hyperlink>
    </w:p>
    <w:p>
      <w:pPr>
        <w:pStyle w:val="TOC2"/>
        <w:rPr>
          <w:rFonts w:ascii="Calibri" w:hAnsi="Calibri"/>
          <w:noProof/>
          <w:sz w:val="22"/>
        </w:rPr>
      </w:pPr>
      <w:hyperlink w:anchor="_Toc256000208"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_Toc256000208 \h </w:instrText>
        </w:r>
        <w:r>
          <w:fldChar w:fldCharType="separate"/>
        </w:r>
        <w:r>
          <w:t>815</w:t>
        </w:r>
        <w:r>
          <w:fldChar w:fldCharType="end"/>
        </w:r>
      </w:hyperlink>
    </w:p>
    <w:p>
      <w:pPr>
        <w:pStyle w:val="TOC2"/>
        <w:rPr>
          <w:rFonts w:ascii="Calibri" w:hAnsi="Calibri"/>
          <w:noProof/>
          <w:sz w:val="22"/>
        </w:rPr>
      </w:pPr>
      <w:hyperlink w:anchor="_Toc256000209"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816</w:t>
        </w:r>
        <w:r>
          <w:fldChar w:fldCharType="end"/>
        </w:r>
      </w:hyperlink>
    </w:p>
    <w:p>
      <w:pPr>
        <w:pStyle w:val="TOC2"/>
        <w:rPr>
          <w:rFonts w:ascii="Calibri" w:hAnsi="Calibri"/>
          <w:noProof/>
          <w:sz w:val="22"/>
        </w:rPr>
      </w:pPr>
      <w:hyperlink w:anchor="_Toc256000210"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_Toc256000210 \h </w:instrText>
        </w:r>
        <w:r>
          <w:fldChar w:fldCharType="separate"/>
        </w:r>
        <w:r>
          <w:t>816</w:t>
        </w:r>
        <w:r>
          <w:fldChar w:fldCharType="end"/>
        </w:r>
      </w:hyperlink>
    </w:p>
    <w:p>
      <w:pPr>
        <w:pStyle w:val="TOC2"/>
        <w:rPr>
          <w:rFonts w:ascii="Calibri" w:hAnsi="Calibri"/>
          <w:noProof/>
          <w:sz w:val="22"/>
        </w:rPr>
      </w:pPr>
      <w:hyperlink w:anchor="_Toc256000211"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_Toc256000211 \h </w:instrText>
        </w:r>
        <w:r>
          <w:fldChar w:fldCharType="separate"/>
        </w:r>
        <w:r>
          <w:t>817</w:t>
        </w:r>
        <w:r>
          <w:fldChar w:fldCharType="end"/>
        </w:r>
      </w:hyperlink>
    </w:p>
    <w:p>
      <w:pPr>
        <w:pStyle w:val="TOC2"/>
        <w:rPr>
          <w:rFonts w:ascii="Calibri" w:hAnsi="Calibri"/>
          <w:noProof/>
          <w:sz w:val="22"/>
        </w:rPr>
      </w:pPr>
      <w:hyperlink w:anchor="_Toc256000212"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_Toc256000212 \h </w:instrText>
        </w:r>
        <w:r>
          <w:fldChar w:fldCharType="separate"/>
        </w:r>
        <w:r>
          <w:t>817</w:t>
        </w:r>
        <w:r>
          <w:fldChar w:fldCharType="end"/>
        </w:r>
      </w:hyperlink>
    </w:p>
    <w:p>
      <w:pPr>
        <w:pStyle w:val="TOC2"/>
        <w:rPr>
          <w:rFonts w:ascii="Calibri" w:hAnsi="Calibri"/>
          <w:noProof/>
          <w:sz w:val="22"/>
        </w:rPr>
      </w:pPr>
      <w:hyperlink w:anchor="_Toc256000213"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_Toc256000213 \h </w:instrText>
        </w:r>
        <w:r>
          <w:fldChar w:fldCharType="separate"/>
        </w:r>
        <w:r>
          <w:t>818</w:t>
        </w:r>
        <w:r>
          <w:fldChar w:fldCharType="end"/>
        </w:r>
      </w:hyperlink>
    </w:p>
    <w:p>
      <w:pPr>
        <w:pStyle w:val="TOC2"/>
        <w:rPr>
          <w:rFonts w:ascii="Calibri" w:hAnsi="Calibri"/>
          <w:noProof/>
          <w:sz w:val="22"/>
        </w:rPr>
      </w:pPr>
      <w:hyperlink w:anchor="_Toc256000214"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_Toc256000214 \h </w:instrText>
        </w:r>
        <w:r>
          <w:fldChar w:fldCharType="separate"/>
        </w:r>
        <w:r>
          <w:t>818</w:t>
        </w:r>
        <w:r>
          <w:fldChar w:fldCharType="end"/>
        </w:r>
      </w:hyperlink>
    </w:p>
    <w:p>
      <w:pPr>
        <w:pStyle w:val="TOC2"/>
        <w:rPr>
          <w:rFonts w:ascii="Calibri" w:hAnsi="Calibri"/>
          <w:noProof/>
          <w:sz w:val="22"/>
        </w:rPr>
      </w:pPr>
      <w:hyperlink w:anchor="_Toc256000215"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_Toc256000215 \h </w:instrText>
        </w:r>
        <w:r>
          <w:fldChar w:fldCharType="separate"/>
        </w:r>
        <w:r>
          <w:t>818</w:t>
        </w:r>
        <w:r>
          <w:fldChar w:fldCharType="end"/>
        </w:r>
      </w:hyperlink>
    </w:p>
    <w:p>
      <w:pPr>
        <w:pStyle w:val="TOC2"/>
        <w:rPr>
          <w:rFonts w:ascii="Calibri" w:hAnsi="Calibri"/>
          <w:noProof/>
          <w:sz w:val="22"/>
        </w:rPr>
      </w:pPr>
      <w:hyperlink w:anchor="_Toc256000216"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_Toc256000216 \h </w:instrText>
        </w:r>
        <w:r>
          <w:fldChar w:fldCharType="separate"/>
        </w:r>
        <w:r>
          <w:t>819</w:t>
        </w:r>
        <w:r>
          <w:fldChar w:fldCharType="end"/>
        </w:r>
      </w:hyperlink>
    </w:p>
    <w:p>
      <w:pPr>
        <w:pStyle w:val="TOC2"/>
        <w:rPr>
          <w:rFonts w:ascii="Calibri" w:hAnsi="Calibri"/>
          <w:noProof/>
          <w:sz w:val="22"/>
        </w:rPr>
      </w:pPr>
      <w:hyperlink w:anchor="_Toc256000217"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_Toc256000217 \h </w:instrText>
        </w:r>
        <w:r>
          <w:fldChar w:fldCharType="separate"/>
        </w:r>
        <w:r>
          <w:t>819</w:t>
        </w:r>
        <w:r>
          <w:fldChar w:fldCharType="end"/>
        </w:r>
      </w:hyperlink>
    </w:p>
    <w:p>
      <w:pPr>
        <w:pStyle w:val="TOC2"/>
        <w:rPr>
          <w:rFonts w:ascii="Calibri" w:hAnsi="Calibri"/>
          <w:noProof/>
          <w:sz w:val="22"/>
        </w:rPr>
      </w:pPr>
      <w:hyperlink w:anchor="_Toc256000218"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_Toc256000218 \h </w:instrText>
        </w:r>
        <w:r>
          <w:fldChar w:fldCharType="separate"/>
        </w:r>
        <w:r>
          <w:t>820</w:t>
        </w:r>
        <w:r>
          <w:fldChar w:fldCharType="end"/>
        </w:r>
      </w:hyperlink>
    </w:p>
    <w:p>
      <w:pPr>
        <w:pStyle w:val="TOC2"/>
        <w:rPr>
          <w:rFonts w:ascii="Calibri" w:hAnsi="Calibri"/>
          <w:noProof/>
          <w:sz w:val="22"/>
        </w:rPr>
      </w:pPr>
      <w:hyperlink w:anchor="_Toc256000219" w:history="1">
        <w:r>
          <w:rPr>
            <w:rStyle w:val="Hyperlink"/>
          </w:rPr>
          <w:t>13.23.</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_Toc256000219 \h </w:instrText>
        </w:r>
        <w:r>
          <w:fldChar w:fldCharType="separate"/>
        </w:r>
        <w:r>
          <w:t>820</w:t>
        </w:r>
        <w:r>
          <w:fldChar w:fldCharType="end"/>
        </w:r>
      </w:hyperlink>
    </w:p>
    <w:p>
      <w:pPr>
        <w:pStyle w:val="TOC1"/>
        <w:rPr>
          <w:rFonts w:ascii="Calibri" w:hAnsi="Calibri"/>
          <w:noProof/>
          <w:sz w:val="22"/>
        </w:rPr>
      </w:pPr>
      <w:hyperlink w:anchor="_Toc256000220"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_Toc256000220 \h </w:instrText>
        </w:r>
        <w:r>
          <w:fldChar w:fldCharType="separate"/>
        </w:r>
        <w:r>
          <w:t>822</w:t>
        </w:r>
        <w:r>
          <w:fldChar w:fldCharType="end"/>
        </w:r>
      </w:hyperlink>
    </w:p>
    <w:p>
      <w:pPr>
        <w:pStyle w:val="TOC2"/>
        <w:rPr>
          <w:rFonts w:ascii="Calibri" w:hAnsi="Calibri"/>
          <w:noProof/>
          <w:sz w:val="22"/>
        </w:rPr>
      </w:pPr>
      <w:hyperlink w:anchor="_Toc256000221"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_Toc256000221 \h </w:instrText>
        </w:r>
        <w:r>
          <w:fldChar w:fldCharType="separate"/>
        </w:r>
        <w:r>
          <w:t>822</w:t>
        </w:r>
        <w:r>
          <w:fldChar w:fldCharType="end"/>
        </w:r>
      </w:hyperlink>
    </w:p>
    <w:p>
      <w:pPr>
        <w:pStyle w:val="TOC3"/>
        <w:rPr>
          <w:rFonts w:ascii="Calibri" w:hAnsi="Calibri"/>
          <w:noProof/>
          <w:sz w:val="22"/>
        </w:rPr>
      </w:pPr>
      <w:hyperlink w:anchor="_Toc256000222"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_Toc256000222 \h </w:instrText>
        </w:r>
        <w:r>
          <w:fldChar w:fldCharType="separate"/>
        </w:r>
        <w:r>
          <w:t>822</w:t>
        </w:r>
        <w:r>
          <w:fldChar w:fldCharType="end"/>
        </w:r>
      </w:hyperlink>
    </w:p>
    <w:p>
      <w:pPr>
        <w:pStyle w:val="TOC3"/>
        <w:rPr>
          <w:rFonts w:ascii="Calibri" w:hAnsi="Calibri"/>
          <w:noProof/>
          <w:sz w:val="22"/>
        </w:rPr>
      </w:pPr>
      <w:hyperlink w:anchor="_Toc256000223"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_Toc256000223 \h </w:instrText>
        </w:r>
        <w:r>
          <w:fldChar w:fldCharType="separate"/>
        </w:r>
        <w:r>
          <w:t>830</w:t>
        </w:r>
        <w:r>
          <w:fldChar w:fldCharType="end"/>
        </w:r>
      </w:hyperlink>
    </w:p>
    <w:p>
      <w:pPr>
        <w:pStyle w:val="TOC2"/>
        <w:rPr>
          <w:rFonts w:ascii="Calibri" w:hAnsi="Calibri"/>
          <w:noProof/>
          <w:sz w:val="22"/>
        </w:rPr>
      </w:pPr>
      <w:hyperlink w:anchor="_Toc256000224"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_Toc256000224 \h </w:instrText>
        </w:r>
        <w:r>
          <w:fldChar w:fldCharType="separate"/>
        </w:r>
        <w:r>
          <w:t>830</w:t>
        </w:r>
        <w:r>
          <w:fldChar w:fldCharType="end"/>
        </w:r>
      </w:hyperlink>
    </w:p>
    <w:p>
      <w:pPr>
        <w:pStyle w:val="TOC1"/>
        <w:rPr>
          <w:rFonts w:ascii="Calibri" w:hAnsi="Calibri"/>
          <w:noProof/>
          <w:sz w:val="22"/>
        </w:rPr>
      </w:pPr>
      <w:hyperlink w:anchor="_Toc256000225"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_Toc256000225 \h </w:instrText>
        </w:r>
        <w:r>
          <w:fldChar w:fldCharType="separate"/>
        </w:r>
        <w:r>
          <w:t>833</w:t>
        </w:r>
        <w:r>
          <w:fldChar w:fldCharType="end"/>
        </w:r>
      </w:hyperlink>
    </w:p>
    <w:p>
      <w:pPr>
        <w:pStyle w:val="TOC2"/>
        <w:rPr>
          <w:rFonts w:ascii="Calibri" w:hAnsi="Calibri"/>
          <w:noProof/>
          <w:sz w:val="22"/>
        </w:rPr>
      </w:pPr>
      <w:hyperlink w:anchor="_Toc256000226"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_Toc256000226 \h </w:instrText>
        </w:r>
        <w:r>
          <w:fldChar w:fldCharType="separate"/>
        </w:r>
        <w:r>
          <w:t>833</w:t>
        </w:r>
        <w:r>
          <w:fldChar w:fldCharType="end"/>
        </w:r>
      </w:hyperlink>
    </w:p>
    <w:p>
      <w:pPr>
        <w:pStyle w:val="TOC3"/>
        <w:rPr>
          <w:rFonts w:ascii="Calibri" w:hAnsi="Calibri"/>
          <w:noProof/>
          <w:sz w:val="22"/>
        </w:rPr>
      </w:pPr>
      <w:hyperlink w:anchor="_Toc256000227" w:history="1">
        <w:r>
          <w:rPr>
            <w:rStyle w:val="Hyperlink"/>
          </w:rPr>
          <w:t>15.1.1.</w:t>
        </w:r>
        <w:r>
          <w:rPr>
            <w:rStyle w:val="Hyperlink"/>
          </w:rPr>
          <w:t xml:space="preserve"> </w:t>
        </w:r>
        <w:r>
          <w:rPr>
            <w:rStyle w:val="Hyperlink"/>
          </w:rPr>
          <w:t>Органи</w:t>
        </w:r>
        <w:r>
          <w:tab/>
        </w:r>
        <w:r>
          <w:fldChar w:fldCharType="begin"/>
        </w:r>
        <w:r>
          <w:instrText xml:space="preserve"> PAGEREF _Toc256000227 \h </w:instrText>
        </w:r>
        <w:r>
          <w:fldChar w:fldCharType="separate"/>
        </w:r>
        <w:r>
          <w:t>833</w:t>
        </w:r>
        <w:r>
          <w:fldChar w:fldCharType="end"/>
        </w:r>
      </w:hyperlink>
    </w:p>
    <w:p>
      <w:pPr>
        <w:pStyle w:val="TOC3"/>
        <w:rPr>
          <w:rFonts w:ascii="Calibri" w:hAnsi="Calibri"/>
          <w:noProof/>
          <w:sz w:val="22"/>
        </w:rPr>
      </w:pPr>
      <w:hyperlink w:anchor="_Toc256000228"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_Toc256000228 \h </w:instrText>
        </w:r>
        <w:r>
          <w:fldChar w:fldCharType="separate"/>
        </w:r>
        <w:r>
          <w:t>833</w:t>
        </w:r>
        <w:r>
          <w:fldChar w:fldCharType="end"/>
        </w:r>
      </w:hyperlink>
    </w:p>
    <w:p>
      <w:pPr>
        <w:pStyle w:val="TOC2"/>
        <w:rPr>
          <w:rFonts w:ascii="Calibri" w:hAnsi="Calibri"/>
          <w:noProof/>
          <w:sz w:val="22"/>
        </w:rPr>
      </w:pPr>
      <w:hyperlink w:anchor="_Toc256000229"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_Toc256000229 \h </w:instrText>
        </w:r>
        <w:r>
          <w:fldChar w:fldCharType="separate"/>
        </w:r>
        <w:r>
          <w:t>837</w:t>
        </w:r>
        <w:r>
          <w:fldChar w:fldCharType="end"/>
        </w:r>
      </w:hyperlink>
    </w:p>
    <w:p>
      <w:pPr>
        <w:pStyle w:val="TOC2"/>
        <w:rPr>
          <w:rFonts w:ascii="Calibri" w:hAnsi="Calibri"/>
          <w:noProof/>
          <w:sz w:val="22"/>
        </w:rPr>
      </w:pPr>
      <w:hyperlink w:anchor="_Toc256000230"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_Toc256000230 \h </w:instrText>
        </w:r>
        <w:r>
          <w:fldChar w:fldCharType="separate"/>
        </w:r>
        <w:r>
          <w:t>839</w:t>
        </w:r>
        <w:r>
          <w:fldChar w:fldCharType="end"/>
        </w:r>
      </w:hyperlink>
    </w:p>
    <w:p>
      <w:pPr>
        <w:pStyle w:val="TOC2"/>
        <w:rPr>
          <w:rFonts w:ascii="Calibri" w:hAnsi="Calibri"/>
          <w:noProof/>
          <w:sz w:val="22"/>
        </w:rPr>
      </w:pPr>
      <w:hyperlink w:anchor="_Toc256000231"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_Toc256000231 \h </w:instrText>
        </w:r>
        <w:r>
          <w:fldChar w:fldCharType="separate"/>
        </w:r>
        <w:r>
          <w:t>845</w:t>
        </w:r>
        <w:r>
          <w:fldChar w:fldCharType="end"/>
        </w:r>
      </w:hyperlink>
    </w:p>
    <w:p>
      <w:pPr>
        <w:pStyle w:val="TOC2"/>
        <w:rPr>
          <w:rFonts w:ascii="Calibri" w:hAnsi="Calibri"/>
          <w:noProof/>
          <w:sz w:val="22"/>
        </w:rPr>
      </w:pPr>
      <w:hyperlink w:anchor="_Toc256000232"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_Toc256000232 \h </w:instrText>
        </w:r>
        <w:r>
          <w:fldChar w:fldCharType="separate"/>
        </w:r>
        <w:r>
          <w:t>846</w:t>
        </w:r>
        <w:r>
          <w:fldChar w:fldCharType="end"/>
        </w:r>
      </w:hyperlink>
    </w:p>
    <w:p>
      <w:pPr>
        <w:pStyle w:val="TOC2"/>
        <w:rPr>
          <w:rFonts w:ascii="Calibri" w:hAnsi="Calibri"/>
          <w:noProof/>
          <w:sz w:val="22"/>
        </w:rPr>
      </w:pPr>
      <w:hyperlink w:anchor="_Toc256000233"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_Toc256000233 \h </w:instrText>
        </w:r>
        <w:r>
          <w:fldChar w:fldCharType="separate"/>
        </w:r>
        <w:r>
          <w:t>849</w:t>
        </w:r>
        <w:r>
          <w:fldChar w:fldCharType="end"/>
        </w:r>
      </w:hyperlink>
    </w:p>
    <w:p>
      <w:pPr>
        <w:pStyle w:val="TOC1"/>
        <w:rPr>
          <w:rFonts w:ascii="Calibri" w:hAnsi="Calibri"/>
          <w:noProof/>
          <w:sz w:val="22"/>
        </w:rPr>
      </w:pPr>
      <w:hyperlink w:anchor="_Toc256000234"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_Toc256000234 \h </w:instrText>
        </w:r>
        <w:r>
          <w:fldChar w:fldCharType="separate"/>
        </w:r>
        <w:r>
          <w:t>853</w:t>
        </w:r>
        <w:r>
          <w:fldChar w:fldCharType="end"/>
        </w:r>
      </w:hyperlink>
    </w:p>
    <w:p>
      <w:pPr>
        <w:pStyle w:val="TOC2"/>
        <w:rPr>
          <w:rFonts w:ascii="Calibri" w:hAnsi="Calibri"/>
          <w:noProof/>
          <w:sz w:val="22"/>
        </w:rPr>
      </w:pPr>
      <w:hyperlink w:anchor="_Toc256000235"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_Toc256000235 \h </w:instrText>
        </w:r>
        <w:r>
          <w:fldChar w:fldCharType="separate"/>
        </w:r>
        <w:r>
          <w:t>853</w:t>
        </w:r>
        <w:r>
          <w:fldChar w:fldCharType="end"/>
        </w:r>
      </w:hyperlink>
    </w:p>
    <w:p>
      <w:pPr>
        <w:pStyle w:val="TOC3"/>
        <w:rPr>
          <w:rFonts w:ascii="Calibri" w:hAnsi="Calibri"/>
          <w:noProof/>
          <w:sz w:val="22"/>
        </w:rPr>
      </w:pPr>
      <w:hyperlink w:anchor="_Toc256000236"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_Toc256000236 \h </w:instrText>
        </w:r>
        <w:r>
          <w:fldChar w:fldCharType="separate"/>
        </w:r>
        <w:r>
          <w:t>853</w:t>
        </w:r>
        <w:r>
          <w:fldChar w:fldCharType="end"/>
        </w:r>
      </w:hyperlink>
    </w:p>
    <w:p>
      <w:pPr>
        <w:pStyle w:val="TOC3"/>
        <w:rPr>
          <w:rFonts w:ascii="Calibri" w:hAnsi="Calibri"/>
          <w:noProof/>
          <w:sz w:val="22"/>
        </w:rPr>
      </w:pPr>
      <w:hyperlink w:anchor="_Toc256000237"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_Toc256000237 \h </w:instrText>
        </w:r>
        <w:r>
          <w:fldChar w:fldCharType="separate"/>
        </w:r>
        <w:r>
          <w:t>853</w:t>
        </w:r>
        <w:r>
          <w:fldChar w:fldCharType="end"/>
        </w:r>
      </w:hyperlink>
    </w:p>
    <w:p>
      <w:pPr>
        <w:pStyle w:val="TOC2"/>
        <w:rPr>
          <w:rFonts w:ascii="Calibri" w:hAnsi="Calibri"/>
          <w:noProof/>
          <w:sz w:val="22"/>
        </w:rPr>
      </w:pPr>
      <w:hyperlink w:anchor="_Toc256000238"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_Toc256000238 \h </w:instrText>
        </w:r>
        <w:r>
          <w:fldChar w:fldCharType="separate"/>
        </w:r>
        <w:r>
          <w:t>853</w:t>
        </w:r>
        <w:r>
          <w:fldChar w:fldCharType="end"/>
        </w:r>
      </w:hyperlink>
    </w:p>
    <w:p>
      <w:pPr>
        <w:pStyle w:val="TOC3"/>
        <w:rPr>
          <w:rFonts w:ascii="Calibri" w:hAnsi="Calibri"/>
          <w:noProof/>
          <w:sz w:val="22"/>
        </w:rPr>
      </w:pPr>
      <w:hyperlink w:anchor="_Toc256000239"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_Toc256000239 \h </w:instrText>
        </w:r>
        <w:r>
          <w:fldChar w:fldCharType="separate"/>
        </w:r>
        <w:r>
          <w:t>853</w:t>
        </w:r>
        <w:r>
          <w:fldChar w:fldCharType="end"/>
        </w:r>
      </w:hyperlink>
    </w:p>
    <w:p>
      <w:pPr>
        <w:pStyle w:val="TOC3"/>
        <w:rPr>
          <w:rFonts w:ascii="Calibri" w:hAnsi="Calibri"/>
          <w:noProof/>
          <w:sz w:val="22"/>
        </w:rPr>
      </w:pPr>
      <w:hyperlink w:anchor="_Toc256000240"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_Toc256000240 \h </w:instrText>
        </w:r>
        <w:r>
          <w:fldChar w:fldCharType="separate"/>
        </w:r>
        <w:r>
          <w:t>853</w:t>
        </w:r>
        <w:r>
          <w:fldChar w:fldCharType="end"/>
        </w:r>
      </w:hyperlink>
    </w:p>
    <w:p>
      <w:pPr>
        <w:pStyle w:val="TOC2"/>
        <w:rPr>
          <w:rFonts w:ascii="Calibri" w:hAnsi="Calibri"/>
          <w:noProof/>
          <w:sz w:val="22"/>
        </w:rPr>
      </w:pPr>
      <w:hyperlink w:anchor="_Toc256000241"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_Toc256000241 \h </w:instrText>
        </w:r>
        <w:r>
          <w:fldChar w:fldCharType="separate"/>
        </w:r>
        <w:r>
          <w:t>854</w:t>
        </w:r>
        <w:r>
          <w:fldChar w:fldCharType="end"/>
        </w:r>
      </w:hyperlink>
    </w:p>
    <w:p>
      <w:pPr>
        <w:pStyle w:val="TOC3"/>
        <w:rPr>
          <w:rFonts w:ascii="Calibri" w:hAnsi="Calibri"/>
          <w:noProof/>
          <w:sz w:val="22"/>
        </w:rPr>
      </w:pPr>
      <w:hyperlink w:anchor="_Toc256000242"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_Toc256000242 \h </w:instrText>
        </w:r>
        <w:r>
          <w:fldChar w:fldCharType="separate"/>
        </w:r>
        <w:r>
          <w:t>854</w:t>
        </w:r>
        <w:r>
          <w:fldChar w:fldCharType="end"/>
        </w:r>
      </w:hyperlink>
    </w:p>
    <w:p>
      <w:pPr>
        <w:pStyle w:val="TOC3"/>
        <w:rPr>
          <w:rFonts w:ascii="Calibri" w:hAnsi="Calibri"/>
          <w:noProof/>
          <w:sz w:val="22"/>
        </w:rPr>
      </w:pPr>
      <w:hyperlink w:anchor="_Toc256000243"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_Toc256000243 \h </w:instrText>
        </w:r>
        <w:r>
          <w:fldChar w:fldCharType="separate"/>
        </w:r>
        <w:r>
          <w:t>854</w:t>
        </w:r>
        <w:r>
          <w:fldChar w:fldCharType="end"/>
        </w:r>
      </w:hyperlink>
    </w:p>
    <w:p>
      <w:pPr>
        <w:pStyle w:val="TOC2"/>
        <w:rPr>
          <w:rFonts w:ascii="Calibri" w:hAnsi="Calibri"/>
          <w:noProof/>
          <w:sz w:val="22"/>
        </w:rPr>
      </w:pPr>
      <w:hyperlink w:anchor="_Toc256000244"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_Toc256000244 \h </w:instrText>
        </w:r>
        <w:r>
          <w:fldChar w:fldCharType="separate"/>
        </w:r>
        <w:r>
          <w:t>854</w:t>
        </w:r>
        <w:r>
          <w:fldChar w:fldCharType="end"/>
        </w:r>
      </w:hyperlink>
    </w:p>
    <w:p>
      <w:pPr>
        <w:pStyle w:val="TOC3"/>
        <w:rPr>
          <w:rFonts w:ascii="Calibri" w:hAnsi="Calibri"/>
          <w:noProof/>
          <w:sz w:val="22"/>
        </w:rPr>
      </w:pPr>
      <w:hyperlink w:anchor="_Toc256000245"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_Toc256000245 \h </w:instrText>
        </w:r>
        <w:r>
          <w:fldChar w:fldCharType="separate"/>
        </w:r>
        <w:r>
          <w:t>854</w:t>
        </w:r>
        <w:r>
          <w:fldChar w:fldCharType="end"/>
        </w:r>
      </w:hyperlink>
    </w:p>
    <w:p>
      <w:pPr>
        <w:pStyle w:val="TOC3"/>
        <w:rPr>
          <w:rFonts w:ascii="Calibri" w:hAnsi="Calibri"/>
          <w:noProof/>
          <w:sz w:val="22"/>
        </w:rPr>
      </w:pPr>
      <w:hyperlink w:anchor="_Toc256000246"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_Toc256000246 \h </w:instrText>
        </w:r>
        <w:r>
          <w:fldChar w:fldCharType="separate"/>
        </w:r>
        <w:r>
          <w:t>854</w:t>
        </w:r>
        <w:r>
          <w:fldChar w:fldCharType="end"/>
        </w:r>
      </w:hyperlink>
    </w:p>
    <w:p>
      <w:pPr>
        <w:pStyle w:val="TOC2"/>
        <w:rPr>
          <w:rFonts w:ascii="Calibri" w:hAnsi="Calibri"/>
          <w:noProof/>
          <w:sz w:val="22"/>
        </w:rPr>
      </w:pPr>
      <w:hyperlink w:anchor="_Toc256000247"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_Toc256000247 \h </w:instrText>
        </w:r>
        <w:r>
          <w:fldChar w:fldCharType="separate"/>
        </w:r>
        <w:r>
          <w:t>855</w:t>
        </w:r>
        <w:r>
          <w:fldChar w:fldCharType="end"/>
        </w:r>
      </w:hyperlink>
    </w:p>
    <w:p>
      <w:pPr>
        <w:pStyle w:val="TOC3"/>
        <w:rPr>
          <w:rFonts w:ascii="Calibri" w:hAnsi="Calibri"/>
          <w:noProof/>
          <w:sz w:val="22"/>
        </w:rPr>
      </w:pPr>
      <w:hyperlink w:anchor="_Toc256000248"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_Toc256000248 \h </w:instrText>
        </w:r>
        <w:r>
          <w:fldChar w:fldCharType="separate"/>
        </w:r>
        <w:r>
          <w:t>855</w:t>
        </w:r>
        <w:r>
          <w:fldChar w:fldCharType="end"/>
        </w:r>
      </w:hyperlink>
    </w:p>
    <w:p>
      <w:pPr>
        <w:pStyle w:val="TOC3"/>
        <w:rPr>
          <w:rFonts w:ascii="Calibri" w:hAnsi="Calibri"/>
          <w:noProof/>
          <w:sz w:val="22"/>
        </w:rPr>
      </w:pPr>
      <w:hyperlink w:anchor="_Toc256000249"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_Toc256000249 \h </w:instrText>
        </w:r>
        <w:r>
          <w:fldChar w:fldCharType="separate"/>
        </w:r>
        <w:r>
          <w:t>855</w:t>
        </w:r>
        <w:r>
          <w:fldChar w:fldCharType="end"/>
        </w:r>
      </w:hyperlink>
    </w:p>
    <w:p>
      <w:pPr>
        <w:pStyle w:val="TOC2"/>
        <w:rPr>
          <w:rFonts w:ascii="Calibri" w:hAnsi="Calibri"/>
          <w:noProof/>
          <w:sz w:val="22"/>
        </w:rPr>
      </w:pPr>
      <w:hyperlink w:anchor="_Toc256000250"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_Toc256000250 \h </w:instrText>
        </w:r>
        <w:r>
          <w:fldChar w:fldCharType="separate"/>
        </w:r>
        <w:r>
          <w:t>855</w:t>
        </w:r>
        <w:r>
          <w:fldChar w:fldCharType="end"/>
        </w:r>
      </w:hyperlink>
    </w:p>
    <w:p>
      <w:pPr>
        <w:pStyle w:val="TOC3"/>
        <w:rPr>
          <w:rFonts w:ascii="Calibri" w:hAnsi="Calibri"/>
          <w:noProof/>
          <w:sz w:val="22"/>
        </w:rPr>
      </w:pPr>
      <w:hyperlink w:anchor="_Toc256000251"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_Toc256000251 \h </w:instrText>
        </w:r>
        <w:r>
          <w:fldChar w:fldCharType="separate"/>
        </w:r>
        <w:r>
          <w:t>855</w:t>
        </w:r>
        <w:r>
          <w:fldChar w:fldCharType="end"/>
        </w:r>
      </w:hyperlink>
    </w:p>
    <w:p>
      <w:pPr>
        <w:pStyle w:val="TOC3"/>
        <w:rPr>
          <w:rFonts w:ascii="Calibri" w:hAnsi="Calibri"/>
          <w:noProof/>
          <w:sz w:val="22"/>
        </w:rPr>
      </w:pPr>
      <w:hyperlink w:anchor="_Toc256000252"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_Toc256000252 \h </w:instrText>
        </w:r>
        <w:r>
          <w:fldChar w:fldCharType="separate"/>
        </w:r>
        <w:r>
          <w:t>855</w:t>
        </w:r>
        <w:r>
          <w:fldChar w:fldCharType="end"/>
        </w:r>
      </w:hyperlink>
    </w:p>
    <w:p>
      <w:pPr>
        <w:pStyle w:val="TOC2"/>
        <w:rPr>
          <w:rFonts w:ascii="Calibri" w:hAnsi="Calibri"/>
          <w:noProof/>
          <w:sz w:val="22"/>
        </w:rPr>
      </w:pPr>
      <w:hyperlink w:anchor="_Toc256000253"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_Toc256000253 \h </w:instrText>
        </w:r>
        <w:r>
          <w:fldChar w:fldCharType="separate"/>
        </w:r>
        <w:r>
          <w:t>855</w:t>
        </w:r>
        <w:r>
          <w:fldChar w:fldCharType="end"/>
        </w:r>
      </w:hyperlink>
    </w:p>
    <w:p>
      <w:pPr>
        <w:pStyle w:val="TOC1"/>
        <w:rPr>
          <w:rFonts w:ascii="Calibri" w:hAnsi="Calibri"/>
          <w:noProof/>
          <w:sz w:val="22"/>
        </w:rPr>
      </w:pPr>
      <w:hyperlink w:anchor="_Toc256000254"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_Toc256000254 \h </w:instrText>
        </w:r>
        <w:r>
          <w:fldChar w:fldCharType="separate"/>
        </w:r>
        <w:r>
          <w:t>859</w:t>
        </w:r>
        <w:r>
          <w:fldChar w:fldCharType="end"/>
        </w:r>
      </w:hyperlink>
    </w:p>
    <w:p>
      <w:pPr>
        <w:pStyle w:val="TOC2"/>
        <w:rPr>
          <w:rFonts w:ascii="Calibri" w:hAnsi="Calibri"/>
          <w:noProof/>
          <w:sz w:val="22"/>
        </w:rPr>
      </w:pPr>
      <w:hyperlink w:anchor="_Toc256000255"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_Toc256000255 \h </w:instrText>
        </w:r>
        <w:r>
          <w:fldChar w:fldCharType="separate"/>
        </w:r>
        <w:r>
          <w:t>859</w:t>
        </w:r>
        <w:r>
          <w:fldChar w:fldCharType="end"/>
        </w:r>
      </w:hyperlink>
    </w:p>
    <w:p>
      <w:pPr>
        <w:pStyle w:val="TOC2"/>
        <w:rPr>
          <w:rFonts w:ascii="Calibri" w:hAnsi="Calibri"/>
          <w:noProof/>
          <w:sz w:val="22"/>
        </w:rPr>
      </w:pPr>
      <w:hyperlink w:anchor="_Toc256000256"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_Toc256000256 \h </w:instrText>
        </w:r>
        <w:r>
          <w:fldChar w:fldCharType="separate"/>
        </w:r>
        <w:r>
          <w:t>859</w:t>
        </w:r>
        <w:r>
          <w:fldChar w:fldCharType="end"/>
        </w:r>
      </w:hyperlink>
    </w:p>
    <w:p>
      <w:pPr>
        <w:pStyle w:val="TOC2"/>
        <w:rPr>
          <w:rFonts w:ascii="Calibri" w:hAnsi="Calibri"/>
          <w:noProof/>
          <w:sz w:val="22"/>
        </w:rPr>
      </w:pPr>
      <w:hyperlink w:anchor="_Toc256000257"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_Toc256000257 \h </w:instrText>
        </w:r>
        <w:r>
          <w:fldChar w:fldCharType="separate"/>
        </w:r>
        <w:r>
          <w:t>861</w:t>
        </w:r>
        <w:r>
          <w:fldChar w:fldCharType="end"/>
        </w:r>
      </w:hyperlink>
    </w:p>
    <w:p>
      <w:pPr>
        <w:pStyle w:val="TOC2"/>
        <w:rPr>
          <w:rFonts w:ascii="Calibri" w:hAnsi="Calibri"/>
          <w:noProof/>
          <w:sz w:val="22"/>
        </w:rPr>
      </w:pPr>
      <w:hyperlink w:anchor="_Toc256000258"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_Toc256000258 \h </w:instrText>
        </w:r>
        <w:r>
          <w:fldChar w:fldCharType="separate"/>
        </w:r>
        <w:r>
          <w:t>883</w:t>
        </w:r>
        <w:r>
          <w:fldChar w:fldCharType="end"/>
        </w:r>
      </w:hyperlink>
    </w:p>
    <w:p>
      <w:pPr>
        <w:pStyle w:val="TOC1"/>
        <w:rPr>
          <w:rFonts w:ascii="Calibri" w:hAnsi="Calibri"/>
          <w:noProof/>
          <w:sz w:val="22"/>
        </w:rPr>
      </w:pPr>
      <w:hyperlink w:anchor="_Toc256000259"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_Toc256000259 \h </w:instrText>
        </w:r>
        <w:r>
          <w:fldChar w:fldCharType="separate"/>
        </w:r>
        <w:r>
          <w:t>884</w:t>
        </w:r>
        <w:r>
          <w:fldChar w:fldCharType="end"/>
        </w:r>
      </w:hyperlink>
    </w:p>
    <w:p>
      <w:pPr>
        <w:pStyle w:val="TOC2"/>
        <w:rPr>
          <w:rFonts w:ascii="Calibri" w:hAnsi="Calibri"/>
          <w:noProof/>
          <w:sz w:val="22"/>
        </w:rPr>
      </w:pPr>
      <w:hyperlink w:anchor="_Toc256000260"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_Toc256000260 \h </w:instrText>
        </w:r>
        <w:r>
          <w:fldChar w:fldCharType="separate"/>
        </w:r>
        <w:r>
          <w:t>884</w:t>
        </w:r>
        <w:r>
          <w:fldChar w:fldCharType="end"/>
        </w:r>
      </w:hyperlink>
    </w:p>
    <w:p>
      <w:pPr>
        <w:pStyle w:val="TOC2"/>
        <w:rPr>
          <w:rFonts w:ascii="Calibri" w:hAnsi="Calibri"/>
          <w:noProof/>
          <w:sz w:val="22"/>
        </w:rPr>
      </w:pPr>
      <w:hyperlink w:anchor="_Toc256000261"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_Toc256000261 \h </w:instrText>
        </w:r>
        <w:r>
          <w:fldChar w:fldCharType="separate"/>
        </w:r>
        <w:r>
          <w:t>885</w:t>
        </w:r>
        <w:r>
          <w:fldChar w:fldCharType="end"/>
        </w:r>
      </w:hyperlink>
    </w:p>
    <w:p>
      <w:pPr>
        <w:pStyle w:val="TOC1"/>
        <w:rPr>
          <w:rFonts w:ascii="Calibri" w:hAnsi="Calibri"/>
          <w:noProof/>
          <w:sz w:val="22"/>
        </w:rPr>
      </w:pPr>
      <w:hyperlink w:anchor="_Toc256000262"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_Toc256000262 \h </w:instrText>
        </w:r>
        <w:r>
          <w:fldChar w:fldCharType="separate"/>
        </w:r>
        <w:r>
          <w:t>888</w:t>
        </w:r>
        <w:r>
          <w:fldChar w:fldCharType="end"/>
        </w:r>
      </w:hyperlink>
    </w:p>
    <w:p>
      <w:pPr>
        <w:pStyle w:val="TOC2"/>
        <w:rPr>
          <w:rFonts w:ascii="Calibri" w:hAnsi="Calibri"/>
          <w:noProof/>
          <w:sz w:val="22"/>
        </w:rPr>
      </w:pPr>
      <w:hyperlink w:anchor="_Toc256000263"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_Toc256000263 \h </w:instrText>
        </w:r>
        <w:r>
          <w:fldChar w:fldCharType="separate"/>
        </w:r>
        <w:r>
          <w:t>888</w:t>
        </w:r>
        <w:r>
          <w:fldChar w:fldCharType="end"/>
        </w:r>
      </w:hyperlink>
    </w:p>
    <w:p>
      <w:pPr>
        <w:pStyle w:val="TOC2"/>
        <w:rPr>
          <w:rFonts w:ascii="Calibri" w:hAnsi="Calibri"/>
          <w:noProof/>
          <w:sz w:val="22"/>
        </w:rPr>
      </w:pPr>
      <w:hyperlink w:anchor="_Toc256000264"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_Toc256000264 \h </w:instrText>
        </w:r>
        <w:r>
          <w:fldChar w:fldCharType="separate"/>
        </w:r>
        <w:r>
          <w:t>890</w:t>
        </w:r>
        <w:r>
          <w:fldChar w:fldCharType="end"/>
        </w:r>
      </w:hyperlink>
    </w:p>
    <w:p>
      <w:pPr>
        <w:pStyle w:val="TOC1"/>
        <w:rPr>
          <w:rFonts w:ascii="Calibri" w:hAnsi="Calibri"/>
          <w:noProof/>
          <w:sz w:val="22"/>
        </w:rPr>
      </w:pPr>
      <w:hyperlink w:anchor="_Toc256000265"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_Toc256000265 \h </w:instrText>
        </w:r>
        <w:r>
          <w:fldChar w:fldCharType="separate"/>
        </w:r>
        <w:r>
          <w:t>892</w:t>
        </w:r>
        <w:r>
          <w:fldChar w:fldCharType="end"/>
        </w:r>
      </w:hyperlink>
    </w:p>
    <w:p>
      <w:pPr>
        <w:pStyle w:val="TOC2"/>
        <w:rPr>
          <w:rFonts w:ascii="Calibri" w:hAnsi="Calibri"/>
          <w:noProof/>
          <w:sz w:val="22"/>
        </w:rPr>
      </w:pPr>
      <w:hyperlink w:anchor="_Toc256000266" w:history="1">
        <w:r>
          <w:rPr>
            <w:rStyle w:val="Hyperlink"/>
          </w:rPr>
          <w:t>Документи</w:t>
        </w:r>
        <w:r>
          <w:tab/>
        </w:r>
        <w:r>
          <w:fldChar w:fldCharType="begin"/>
        </w:r>
        <w:r>
          <w:instrText xml:space="preserve"> PAGEREF _Toc256000266 \h </w:instrText>
        </w:r>
        <w:r>
          <w:fldChar w:fldCharType="separate"/>
        </w:r>
        <w:r>
          <w:t>893</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в. Решение по член 11, буква б)</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23-11-2020</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Вследствие на усложнената епидемична обстановка в Р. България, предложенията на Управляващия орган (УО) на Програмата за развитие на селските райони 2014-2020 г. (ПРСР 2014-2020 г.) за 10-то изменение и допълнение на Програмата бяха разгледани  и обсъдени на писмено неприсъствено заседание  на КН на ПРСР 2014-2020 г., което се проведе в периода 23-30.11.2020 г. В резултат на взетите под внимание становища на участниците в неприсъственото заседание на КН и промени в предложението на Управляващия орган за прехвърляне на средства между мерките и подмерките на Програмата, писмената процедура беше удължена и приключи на 17.12.2020 г. с одобрени от КН на ПРСР 2014-2020 г. решения за 10 изменение и допълнение на Програмата за развитие на селските райони 2014-2020 г. В продължение на писмената процедура на 22.12.2020 г. се състоя 15 заседание на КН на ПРСР 2014-2020 г. чрез видеоконферетна връзка, на което бяха разгледани допълнителни предложения на УО за промени, които да влязат в 10-то изменение на програмата, които бяха дискутирани и гласувани от членовете на Комитета.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двете заседания, КН на ПРСР 2014-2020 г. одобри предложенията на Управляващия орган на ПРСР 2014-2020 г. за 10-то изменение и допълнение на Програмата за развитие на селските райони 2014-2020 г. и предостави  мандат на Управляващия орган да го представи на Европейската комисия и да договори окончателните промени, а именно:</w:t>
            </w:r>
          </w:p>
          <w:p>
            <w:pPr>
              <w:numPr>
                <w:ilvl w:val="0"/>
                <w:numId w:val="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във финансовия план на ПРСР 2014-2020 г. във връзка с прехвърляне на средства между мерки, подмерки и фокус области.</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подмярка 2.2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p>
            <w:pPr>
              <w:numPr>
                <w:ilvl w:val="0"/>
                <w:numId w:val="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подмярка 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numPr>
                <w:ilvl w:val="0"/>
                <w:numId w:val="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мярка 10 „Агроекология и климат“, включително преизчислявания на нивата на компенсаторно подпомагане по мярка 10.</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мярка 11 „Биологично земеделие“.</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мярка 12 „Плащания по Натура 2000 и Рамковата директива за водите“ и методология за преизчисляване на компенсаторните плащания по мярка 12.</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мярка 14 „Хуманно отношение към животните“ относно преизчисляване на нивата на компенсаторните плащания по мярка 14.  </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в текста на подмярка 16.1 „Подкрепа за сформиране и функциониране на оперативни групи в рамките на ЕПИ за селскостопанска производителност и устойчивост“.</w:t>
            </w:r>
          </w:p>
          <w:p>
            <w:pPr>
              <w:numPr>
                <w:ilvl w:val="0"/>
                <w:numId w:val="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раздел 15.1 от ПРСР 2014-2020 г., свързани със структурни промени в дирекция „Развитие на селските райони“ в Приложение № 4 към раздела.</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Десето изменение на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Предложението за десето изменение на ПРСР включва основно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Промени във финансовия план на Мярка 2 „Консултантски услуги, управление на стопанството и услуги по заместване в стопанството“ и Мярка 10 „Агроекология и климат“</w:t>
            </w:r>
            <w:r>
              <w:rPr>
                <w:rFonts w:ascii="Times New Roman" w:eastAsia="Times New Roman" w:hAnsi="Times New Roman" w:cs="Times New Roman"/>
                <w:szCs w:val="24"/>
              </w:rPr>
              <w:t xml:space="preserve"> с цел изравняване на извършени разходи по фокус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второ тримесечие на 2020 г. са надплатени суми по вече поети задължения спрямо разпределенията по финансов план на фокус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Мярка 2 „Консултантски услуги, управление на стопанството и услуги по заместване в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2Б (общо 1 108 059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3Б (общо 21 791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5Б (общо 79 524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5В (общо 13 837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5Г (общо 13 544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5Д (общо 20 684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П4 (общо 175 090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Мярка 10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5Г (общо 7 896 941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аналогични препоръки, отправени от страна на службите на ЕК в рамките на 4-то, 5-то и 6-то изменение на ПРСР, се предвижда финансовият план на Програмата да бъде коригиран в съответствие с поетите ангажименти и надплатените суми – с цел изравняване на извършените разходи по мерките за гореизброените фокус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се предвижда да бъдат нанесени аналогично на тези от 4-то и 5-то изменение - в глава 10 „Финансов план“ на ПРСР, като прехвърляните за тази цел средства ще бъдат само и единствено в рамките на съответните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 Промени във финансовия план на Mярка 21</w:t>
            </w:r>
            <w:r>
              <w:rPr>
                <w:rFonts w:ascii="Times New Roman" w:eastAsia="Times New Roman" w:hAnsi="Times New Roman" w:cs="Times New Roman"/>
                <w:szCs w:val="24"/>
              </w:rPr>
              <w:t xml:space="preserve"> “Извънредно временно подпомагане за земеделските стопани и МСП, които са особено засегнати от кризата, предизвикана от COVID-19” с цел изравняване на договорени средства по фокус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21 е с бюджет 46 207 655 евро от ЕЗФРСР, или 54 361 947 евро публични средства, който е разпределен между три подмерки - Подмярка 21.1 "Изключителна и временна подкрепа за земеделските стопани COVID 1", Подмярка 21.2 "Изключителна и временна подкрепа за земеделските стопани COVID 2", и Подмярка 21.3 "Изключителна и временна подкрепа за МСП  и групи и организации на производители COVID 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по подмерки  21.1 и 21.2 по финансов план е разпределено във фокус област 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 и е в размер на 38 144 111 евро от ЕЗФРСР (44 875 425 евро публични средства), а останалите средства по подмярка 3 са разпределени във фокус област 6А „Улесняване на разнообразяването, създаването и развитието на малки предприятия, както и разкриването на работни места“.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1 ноември разплатените средства по подмерки 21.1 и 21.2 са в размер на 35.9 млн. евро публични средства  (30,5 млн. евро от ЕЗФРСР) за подпомогнати над 29 хиляди заявления, като прогнозите за разплащане след разглеждане и одобрение на всички останали заявления по двете подмерки са за общо не повече от 1,8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26.10 – 13.11.2020 г. се проведе прием и по подмярка 21.3, с наличния остатъчен бюджет по мярката в размер на 3,7 млн. евро, който не е пуснат за предишните приеми. В рамките на приема постъпиха 211 бр., за които е необходим максимален ресурс от 10,5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осигуряване по-голям ресурс за заявленията в текущия прием по подмярка 21.3, и финансиране на мерки с вече стартирали приеми, предложението на УО на ПРСР е за техническо прехвърляне на средства – оставащите в размер на 6 млн. евро от ЕЗФРСР (7 млн. евро публични средства), както следва – 1 млн. евро публични средства от фокус област 2А към фокус област 6А, и 6 млн. евро от фокус област 2А към други мерки от ПРСР. Така ресурсът, разполагаем по подмерки 21.1 и 21.2 ще бъде намален до 37.8 млн. евро публични средства (32.1 млн. евро средства от ЕЗФРСР), а ресурсът, разполагаем по подмярка 21.3 ще бъде увеличен до 10.5 млн. евро публични средства (8.9 млн.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Прехвърляне на средства между мерки и подмерки от ПРСР</w:t>
            </w:r>
            <w:r>
              <w:rPr>
                <w:rFonts w:ascii="Times New Roman" w:eastAsia="Times New Roman" w:hAnsi="Times New Roman" w:cs="Times New Roman"/>
                <w:szCs w:val="24"/>
              </w:rPr>
              <w:t xml:space="preserve"> с цел осигуряване на ресурс за договаряне на заявления по вече стартирали приеми и процедури, от мерки, в които са налични неизразходвани или остатъчни средства към момента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Извършените в УО на ПРСР анализи относно финансовото изпълнение на ПРСР 2014-2020 г. показват следното: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sym w:font="Times New Roman" w:char="F0FC"/>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5</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з</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в</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е</w:t>
            </w:r>
            <w:r>
              <w:rPr>
                <w:rFonts w:ascii="Times New Roman" w:eastAsia="Times New Roman" w:hAnsi="Times New Roman" w:cs="Times New Roman"/>
                <w:szCs w:val="24"/>
              </w:rPr>
              <w:t>л</w:t>
            </w:r>
            <w:r>
              <w:rPr>
                <w:rFonts w:ascii="Times New Roman" w:eastAsia="Times New Roman" w:hAnsi="Times New Roman" w:cs="Times New Roman"/>
                <w:szCs w:val="24"/>
              </w:rPr>
              <w:t>с</w:t>
            </w:r>
            <w:r>
              <w:rPr>
                <w:rFonts w:ascii="Times New Roman" w:eastAsia="Times New Roman" w:hAnsi="Times New Roman" w:cs="Times New Roman"/>
                <w:szCs w:val="24"/>
              </w:rPr>
              <w:t>к</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п</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с</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у</w:t>
            </w:r>
            <w:r>
              <w:rPr>
                <w:rFonts w:ascii="Times New Roman" w:eastAsia="Times New Roman" w:hAnsi="Times New Roman" w:cs="Times New Roman"/>
                <w:szCs w:val="24"/>
              </w:rPr>
              <w:t>к</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п</w:t>
            </w:r>
            <w:r>
              <w:rPr>
                <w:rFonts w:ascii="Times New Roman" w:eastAsia="Times New Roman" w:hAnsi="Times New Roman" w:cs="Times New Roman"/>
                <w:szCs w:val="24"/>
              </w:rPr>
              <w:t>я</w:t>
            </w:r>
            <w:r>
              <w:rPr>
                <w:rFonts w:ascii="Times New Roman" w:eastAsia="Times New Roman" w:hAnsi="Times New Roman" w:cs="Times New Roman"/>
                <w:szCs w:val="24"/>
              </w:rPr>
              <w:t>л</w:t>
            </w:r>
            <w:r>
              <w:rPr>
                <w:rFonts w:ascii="Times New Roman" w:eastAsia="Times New Roman" w:hAnsi="Times New Roman" w:cs="Times New Roman"/>
                <w:szCs w:val="24"/>
              </w:rPr>
              <w:t xml:space="preserve"> </w:t>
            </w:r>
            <w:r>
              <w:rPr>
                <w:rFonts w:ascii="Times New Roman" w:eastAsia="Times New Roman" w:hAnsi="Times New Roman" w:cs="Times New Roman"/>
                <w:szCs w:val="24"/>
              </w:rPr>
              <w:t>щ</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з</w:t>
            </w:r>
            <w:r>
              <w:rPr>
                <w:rFonts w:ascii="Times New Roman" w:eastAsia="Times New Roman" w:hAnsi="Times New Roman" w:cs="Times New Roman"/>
                <w:szCs w:val="24"/>
              </w:rPr>
              <w:t>у</w:t>
            </w:r>
            <w:r>
              <w:rPr>
                <w:rFonts w:ascii="Times New Roman" w:eastAsia="Times New Roman" w:hAnsi="Times New Roman" w:cs="Times New Roman"/>
                <w:szCs w:val="24"/>
              </w:rPr>
              <w:t>л</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ф</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ъ</w:t>
            </w:r>
            <w:r>
              <w:rPr>
                <w:rFonts w:ascii="Times New Roman" w:eastAsia="Times New Roman" w:hAnsi="Times New Roman" w:cs="Times New Roman"/>
                <w:szCs w:val="24"/>
              </w:rPr>
              <w:t>б</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ж</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х</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я</w:t>
            </w:r>
            <w:r>
              <w:rPr>
                <w:rFonts w:ascii="Times New Roman" w:eastAsia="Times New Roman" w:hAnsi="Times New Roman" w:cs="Times New Roman"/>
                <w:szCs w:val="24"/>
              </w:rPr>
              <w:t>щ</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о</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п</w:t>
            </w:r>
            <w:r>
              <w:rPr>
                <w:rFonts w:ascii="Times New Roman" w:eastAsia="Times New Roman" w:hAnsi="Times New Roman" w:cs="Times New Roman"/>
                <w:szCs w:val="24"/>
              </w:rPr>
              <w:t>и</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б</w:t>
            </w:r>
            <w:r>
              <w:rPr>
                <w:rFonts w:ascii="Times New Roman" w:eastAsia="Times New Roman" w:hAnsi="Times New Roman" w:cs="Times New Roman"/>
                <w:szCs w:val="24"/>
              </w:rPr>
              <w:t>щ</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4</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б</w:t>
            </w:r>
            <w:r>
              <w:rPr>
                <w:rFonts w:ascii="Times New Roman" w:eastAsia="Times New Roman" w:hAnsi="Times New Roman" w:cs="Times New Roman"/>
                <w:szCs w:val="24"/>
              </w:rPr>
              <w:t>щ</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3</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5</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к</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д</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7</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в</w:t>
            </w:r>
            <w:r>
              <w:rPr>
                <w:rFonts w:ascii="Times New Roman" w:eastAsia="Times New Roman" w:hAnsi="Times New Roman" w:cs="Times New Roman"/>
                <w:szCs w:val="24"/>
              </w:rPr>
              <w:t>и</w:t>
            </w:r>
            <w:r>
              <w:rPr>
                <w:rFonts w:ascii="Times New Roman" w:eastAsia="Times New Roman" w:hAnsi="Times New Roman" w:cs="Times New Roman"/>
                <w:szCs w:val="24"/>
              </w:rPr>
              <w:t>ж</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р</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5</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к</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п</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с</w:t>
            </w:r>
            <w:r>
              <w:rPr>
                <w:rFonts w:ascii="Times New Roman" w:eastAsia="Times New Roman" w:hAnsi="Times New Roman" w:cs="Times New Roman"/>
                <w:szCs w:val="24"/>
              </w:rPr>
              <w:t>о</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г</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а</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3</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4</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в</w:t>
            </w:r>
            <w:r>
              <w:rPr>
                <w:rFonts w:ascii="Times New Roman" w:eastAsia="Times New Roman" w:hAnsi="Times New Roman" w:cs="Times New Roman"/>
                <w:szCs w:val="24"/>
              </w:rPr>
              <w:t>и</w:t>
            </w:r>
            <w:r>
              <w:rPr>
                <w:rFonts w:ascii="Times New Roman" w:eastAsia="Times New Roman" w:hAnsi="Times New Roman" w:cs="Times New Roman"/>
                <w:szCs w:val="24"/>
              </w:rPr>
              <w:t>ж</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х</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л</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ф</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с</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о</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р</w:t>
            </w:r>
            <w:r>
              <w:rPr>
                <w:rFonts w:ascii="Times New Roman" w:eastAsia="Times New Roman" w:hAnsi="Times New Roman" w:cs="Times New Roman"/>
                <w:szCs w:val="24"/>
              </w:rPr>
              <w:t>у</w:t>
            </w:r>
            <w:r>
              <w:rPr>
                <w:rFonts w:ascii="Times New Roman" w:eastAsia="Times New Roman" w:hAnsi="Times New Roman" w:cs="Times New Roman"/>
                <w:szCs w:val="24"/>
              </w:rPr>
              <w:t>г</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1</w:t>
            </w:r>
            <w:r>
              <w:rPr>
                <w:rFonts w:ascii="Times New Roman" w:eastAsia="Times New Roman" w:hAnsi="Times New Roman" w:cs="Times New Roman"/>
                <w:szCs w:val="24"/>
              </w:rPr>
              <w:t>4</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sym w:font="Times New Roman" w:char="F0FC"/>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6</w:t>
            </w:r>
            <w:r>
              <w:rPr>
                <w:rFonts w:ascii="Times New Roman" w:eastAsia="Times New Roman" w:hAnsi="Times New Roman" w:cs="Times New Roman"/>
                <w:szCs w:val="24"/>
              </w:rPr>
              <w:t>.</w:t>
            </w:r>
            <w:r>
              <w:rPr>
                <w:rFonts w:ascii="Times New Roman" w:eastAsia="Times New Roman" w:hAnsi="Times New Roman" w:cs="Times New Roman"/>
                <w:szCs w:val="24"/>
              </w:rPr>
              <w:t>4</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о</w:t>
            </w:r>
            <w:r>
              <w:rPr>
                <w:rFonts w:ascii="Times New Roman" w:eastAsia="Times New Roman" w:hAnsi="Times New Roman" w:cs="Times New Roman"/>
                <w:szCs w:val="24"/>
              </w:rPr>
              <w:t>н</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к</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п</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з</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е</w:t>
            </w:r>
            <w:r>
              <w:rPr>
                <w:rFonts w:ascii="Times New Roman" w:eastAsia="Times New Roman" w:hAnsi="Times New Roman" w:cs="Times New Roman"/>
                <w:szCs w:val="24"/>
              </w:rPr>
              <w:t>л</w:t>
            </w:r>
            <w:r>
              <w:rPr>
                <w:rFonts w:ascii="Times New Roman" w:eastAsia="Times New Roman" w:hAnsi="Times New Roman" w:cs="Times New Roman"/>
                <w:szCs w:val="24"/>
              </w:rPr>
              <w:t>с</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е</w:t>
            </w:r>
            <w:r>
              <w:rPr>
                <w:rFonts w:ascii="Times New Roman" w:eastAsia="Times New Roman" w:hAnsi="Times New Roman" w:cs="Times New Roman"/>
                <w:szCs w:val="24"/>
              </w:rPr>
              <w:t>й</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6</w:t>
            </w:r>
            <w:r>
              <w:rPr>
                <w:rFonts w:ascii="Times New Roman" w:eastAsia="Times New Roman" w:hAnsi="Times New Roman" w:cs="Times New Roman"/>
                <w:szCs w:val="24"/>
              </w:rPr>
              <w:t>8</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д</w:t>
            </w:r>
            <w:r>
              <w:rPr>
                <w:rFonts w:ascii="Times New Roman" w:eastAsia="Times New Roman" w:hAnsi="Times New Roman" w:cs="Times New Roman"/>
                <w:szCs w:val="24"/>
              </w:rPr>
              <w:t>и</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ж</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и</w:t>
            </w:r>
            <w:r>
              <w:rPr>
                <w:rFonts w:ascii="Times New Roman" w:eastAsia="Times New Roman" w:hAnsi="Times New Roman" w:cs="Times New Roman"/>
                <w:szCs w:val="24"/>
              </w:rPr>
              <w:t>з</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л</w:t>
            </w:r>
            <w:r>
              <w:rPr>
                <w:rFonts w:ascii="Times New Roman" w:eastAsia="Times New Roman" w:hAnsi="Times New Roman" w:cs="Times New Roman"/>
                <w:szCs w:val="24"/>
              </w:rPr>
              <w:t>з</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о</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9</w:t>
            </w:r>
            <w:r>
              <w:rPr>
                <w:rFonts w:ascii="Times New Roman" w:eastAsia="Times New Roman" w:hAnsi="Times New Roman" w:cs="Times New Roman"/>
                <w:szCs w:val="24"/>
              </w:rPr>
              <w:t>.</w:t>
            </w:r>
            <w:r>
              <w:rPr>
                <w:rFonts w:ascii="Times New Roman" w:eastAsia="Times New Roman" w:hAnsi="Times New Roman" w:cs="Times New Roman"/>
                <w:szCs w:val="24"/>
              </w:rPr>
              <w:t>8</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о</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к</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х</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л</w:t>
            </w:r>
            <w:r>
              <w:rPr>
                <w:rFonts w:ascii="Times New Roman" w:eastAsia="Times New Roman" w:hAnsi="Times New Roman" w:cs="Times New Roman"/>
                <w:szCs w:val="24"/>
              </w:rPr>
              <w:t>я</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р</w:t>
            </w:r>
            <w:r>
              <w:rPr>
                <w:rFonts w:ascii="Times New Roman" w:eastAsia="Times New Roman" w:hAnsi="Times New Roman" w:cs="Times New Roman"/>
                <w:szCs w:val="24"/>
              </w:rPr>
              <w:t>у</w:t>
            </w:r>
            <w:r>
              <w:rPr>
                <w:rFonts w:ascii="Times New Roman" w:eastAsia="Times New Roman" w:hAnsi="Times New Roman" w:cs="Times New Roman"/>
                <w:szCs w:val="24"/>
              </w:rPr>
              <w:t>г</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д</w:t>
            </w:r>
            <w:r>
              <w:rPr>
                <w:rFonts w:ascii="Times New Roman" w:eastAsia="Times New Roman" w:hAnsi="Times New Roman" w:cs="Times New Roman"/>
                <w:szCs w:val="24"/>
              </w:rPr>
              <w:t xml:space="preserve"> </w:t>
            </w:r>
            <w:r>
              <w:rPr>
                <w:rFonts w:ascii="Times New Roman" w:eastAsia="Times New Roman" w:hAnsi="Times New Roman" w:cs="Times New Roman"/>
                <w:szCs w:val="24"/>
              </w:rPr>
              <w:t>2</w:t>
            </w:r>
            <w:r>
              <w:rPr>
                <w:rFonts w:ascii="Times New Roman" w:eastAsia="Times New Roman" w:hAnsi="Times New Roman" w:cs="Times New Roman"/>
                <w:szCs w:val="24"/>
              </w:rPr>
              <w:t>9</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sym w:font="Times New Roman" w:char="F0FC"/>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7</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ъ</w:t>
            </w:r>
            <w:r>
              <w:rPr>
                <w:rFonts w:ascii="Times New Roman" w:eastAsia="Times New Roman" w:hAnsi="Times New Roman" w:cs="Times New Roman"/>
                <w:szCs w:val="24"/>
              </w:rPr>
              <w:t>з</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б</w:t>
            </w:r>
            <w:r>
              <w:rPr>
                <w:rFonts w:ascii="Times New Roman" w:eastAsia="Times New Roman" w:hAnsi="Times New Roman" w:cs="Times New Roman"/>
                <w:szCs w:val="24"/>
              </w:rPr>
              <w:t>р</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ш</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с</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и</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а</w:t>
            </w:r>
            <w:r>
              <w:rPr>
                <w:rFonts w:ascii="Times New Roman" w:eastAsia="Times New Roman" w:hAnsi="Times New Roman" w:cs="Times New Roman"/>
                <w:szCs w:val="24"/>
              </w:rPr>
              <w:t>щ</w:t>
            </w:r>
            <w:r>
              <w:rPr>
                <w:rFonts w:ascii="Times New Roman" w:eastAsia="Times New Roman" w:hAnsi="Times New Roman" w:cs="Times New Roman"/>
                <w:szCs w:val="24"/>
              </w:rPr>
              <w:t>а</w:t>
            </w:r>
            <w:r>
              <w:rPr>
                <w:rFonts w:ascii="Times New Roman" w:eastAsia="Times New Roman" w:hAnsi="Times New Roman" w:cs="Times New Roman"/>
                <w:szCs w:val="24"/>
              </w:rPr>
              <w:t>б</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ф</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р</w:t>
            </w:r>
            <w:r>
              <w:rPr>
                <w:rFonts w:ascii="Times New Roman" w:eastAsia="Times New Roman" w:hAnsi="Times New Roman" w:cs="Times New Roman"/>
                <w:szCs w:val="24"/>
              </w:rPr>
              <w:t>у</w:t>
            </w:r>
            <w:r>
              <w:rPr>
                <w:rFonts w:ascii="Times New Roman" w:eastAsia="Times New Roman" w:hAnsi="Times New Roman" w:cs="Times New Roman"/>
                <w:szCs w:val="24"/>
              </w:rPr>
              <w:t>к</w:t>
            </w:r>
            <w:r>
              <w:rPr>
                <w:rFonts w:ascii="Times New Roman" w:eastAsia="Times New Roman" w:hAnsi="Times New Roman" w:cs="Times New Roman"/>
                <w:szCs w:val="24"/>
              </w:rPr>
              <w:t>т</w:t>
            </w:r>
            <w:r>
              <w:rPr>
                <w:rFonts w:ascii="Times New Roman" w:eastAsia="Times New Roman" w:hAnsi="Times New Roman" w:cs="Times New Roman"/>
                <w:szCs w:val="24"/>
              </w:rPr>
              <w:t>у</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ц</w:t>
            </w:r>
            <w:r>
              <w:rPr>
                <w:rFonts w:ascii="Times New Roman" w:eastAsia="Times New Roman" w:hAnsi="Times New Roman" w:cs="Times New Roman"/>
                <w:szCs w:val="24"/>
              </w:rPr>
              <w:t>е</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л</w:t>
            </w:r>
            <w:r>
              <w:rPr>
                <w:rFonts w:ascii="Times New Roman" w:eastAsia="Times New Roman" w:hAnsi="Times New Roman" w:cs="Times New Roman"/>
                <w:szCs w:val="24"/>
              </w:rPr>
              <w:t>а</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д</w:t>
            </w:r>
            <w:r>
              <w:rPr>
                <w:rFonts w:ascii="Times New Roman" w:eastAsia="Times New Roman" w:hAnsi="Times New Roman" w:cs="Times New Roman"/>
                <w:szCs w:val="24"/>
              </w:rPr>
              <w:t>и</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ж</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з</w:t>
            </w:r>
            <w:r>
              <w:rPr>
                <w:rFonts w:ascii="Times New Roman" w:eastAsia="Times New Roman" w:hAnsi="Times New Roman" w:cs="Times New Roman"/>
                <w:szCs w:val="24"/>
              </w:rPr>
              <w:t>у</w:t>
            </w:r>
            <w:r>
              <w:rPr>
                <w:rFonts w:ascii="Times New Roman" w:eastAsia="Times New Roman" w:hAnsi="Times New Roman" w:cs="Times New Roman"/>
                <w:szCs w:val="24"/>
              </w:rPr>
              <w:t>л</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к</w:t>
            </w:r>
            <w:r>
              <w:rPr>
                <w:rFonts w:ascii="Times New Roman" w:eastAsia="Times New Roman" w:hAnsi="Times New Roman" w:cs="Times New Roman"/>
                <w:szCs w:val="24"/>
              </w:rPr>
              <w:t>с</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у</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к</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х</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л</w:t>
            </w:r>
            <w:r>
              <w:rPr>
                <w:rFonts w:ascii="Times New Roman" w:eastAsia="Times New Roman" w:hAnsi="Times New Roman" w:cs="Times New Roman"/>
                <w:szCs w:val="24"/>
              </w:rPr>
              <w:t>я</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р</w:t>
            </w:r>
            <w:r>
              <w:rPr>
                <w:rFonts w:ascii="Times New Roman" w:eastAsia="Times New Roman" w:hAnsi="Times New Roman" w:cs="Times New Roman"/>
                <w:szCs w:val="24"/>
              </w:rPr>
              <w:t>у</w:t>
            </w:r>
            <w:r>
              <w:rPr>
                <w:rFonts w:ascii="Times New Roman" w:eastAsia="Times New Roman" w:hAnsi="Times New Roman" w:cs="Times New Roman"/>
                <w:szCs w:val="24"/>
              </w:rPr>
              <w:t>г</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6</w:t>
            </w:r>
            <w:r>
              <w:rPr>
                <w:rFonts w:ascii="Times New Roman" w:eastAsia="Times New Roman" w:hAnsi="Times New Roman" w:cs="Times New Roman"/>
                <w:szCs w:val="24"/>
              </w:rPr>
              <w:t>.</w:t>
            </w:r>
            <w:r>
              <w:rPr>
                <w:rFonts w:ascii="Times New Roman" w:eastAsia="Times New Roman" w:hAnsi="Times New Roman" w:cs="Times New Roman"/>
                <w:szCs w:val="24"/>
              </w:rPr>
              <w:t>6</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sym w:font="Times New Roman" w:char="F0FC"/>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7</w:t>
            </w:r>
            <w:r>
              <w:rPr>
                <w:rFonts w:ascii="Times New Roman" w:eastAsia="Times New Roman" w:hAnsi="Times New Roman" w:cs="Times New Roman"/>
                <w:szCs w:val="24"/>
              </w:rPr>
              <w:t>.</w:t>
            </w:r>
            <w:r>
              <w:rPr>
                <w:rFonts w:ascii="Times New Roman" w:eastAsia="Times New Roman" w:hAnsi="Times New Roman" w:cs="Times New Roman"/>
                <w:szCs w:val="24"/>
              </w:rPr>
              <w:t>6</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у</w:t>
            </w:r>
            <w:r>
              <w:rPr>
                <w:rFonts w:ascii="Times New Roman" w:eastAsia="Times New Roman" w:hAnsi="Times New Roman" w:cs="Times New Roman"/>
                <w:szCs w:val="24"/>
              </w:rPr>
              <w:t>ч</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д</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ж</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з</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в</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у</w:t>
            </w:r>
            <w:r>
              <w:rPr>
                <w:rFonts w:ascii="Times New Roman" w:eastAsia="Times New Roman" w:hAnsi="Times New Roman" w:cs="Times New Roman"/>
                <w:szCs w:val="24"/>
              </w:rPr>
              <w:t>л</w:t>
            </w:r>
            <w:r>
              <w:rPr>
                <w:rFonts w:ascii="Times New Roman" w:eastAsia="Times New Roman" w:hAnsi="Times New Roman" w:cs="Times New Roman"/>
                <w:szCs w:val="24"/>
              </w:rPr>
              <w:t>т</w:t>
            </w:r>
            <w:r>
              <w:rPr>
                <w:rFonts w:ascii="Times New Roman" w:eastAsia="Times New Roman" w:hAnsi="Times New Roman" w:cs="Times New Roman"/>
                <w:szCs w:val="24"/>
              </w:rPr>
              <w:t>у</w:t>
            </w:r>
            <w:r>
              <w:rPr>
                <w:rFonts w:ascii="Times New Roman" w:eastAsia="Times New Roman" w:hAnsi="Times New Roman" w:cs="Times New Roman"/>
                <w:szCs w:val="24"/>
              </w:rPr>
              <w:t>р</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с</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е</w:t>
            </w:r>
            <w:r>
              <w:rPr>
                <w:rFonts w:ascii="Times New Roman" w:eastAsia="Times New Roman" w:hAnsi="Times New Roman" w:cs="Times New Roman"/>
                <w:szCs w:val="24"/>
              </w:rPr>
              <w:t>л</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ц</w:t>
            </w:r>
            <w:r>
              <w:rPr>
                <w:rFonts w:ascii="Times New Roman" w:eastAsia="Times New Roman" w:hAnsi="Times New Roman" w:cs="Times New Roman"/>
                <w:szCs w:val="24"/>
              </w:rPr>
              <w:t>е</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л</w:t>
            </w:r>
            <w:r>
              <w:rPr>
                <w:rFonts w:ascii="Times New Roman" w:eastAsia="Times New Roman" w:hAnsi="Times New Roman" w:cs="Times New Roman"/>
                <w:szCs w:val="24"/>
              </w:rPr>
              <w:t>а</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д</w:t>
            </w:r>
            <w:r>
              <w:rPr>
                <w:rFonts w:ascii="Times New Roman" w:eastAsia="Times New Roman" w:hAnsi="Times New Roman" w:cs="Times New Roman"/>
                <w:szCs w:val="24"/>
              </w:rPr>
              <w:t>и</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ж</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з</w:t>
            </w:r>
            <w:r>
              <w:rPr>
                <w:rFonts w:ascii="Times New Roman" w:eastAsia="Times New Roman" w:hAnsi="Times New Roman" w:cs="Times New Roman"/>
                <w:szCs w:val="24"/>
              </w:rPr>
              <w:t>у</w:t>
            </w:r>
            <w:r>
              <w:rPr>
                <w:rFonts w:ascii="Times New Roman" w:eastAsia="Times New Roman" w:hAnsi="Times New Roman" w:cs="Times New Roman"/>
                <w:szCs w:val="24"/>
              </w:rPr>
              <w:t>л</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г</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ф</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с</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с</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w:t>
            </w:r>
            <w:r>
              <w:rPr>
                <w:rFonts w:ascii="Times New Roman" w:eastAsia="Times New Roman" w:hAnsi="Times New Roman" w:cs="Times New Roman"/>
                <w:szCs w:val="24"/>
              </w:rPr>
              <w:t>8</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sym w:font="Times New Roman" w:char="F0FC"/>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8</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д</w:t>
            </w:r>
            <w:r>
              <w:rPr>
                <w:rFonts w:ascii="Times New Roman" w:eastAsia="Times New Roman" w:hAnsi="Times New Roman" w:cs="Times New Roman"/>
                <w:szCs w:val="24"/>
              </w:rPr>
              <w:t>р</w:t>
            </w:r>
            <w:r>
              <w:rPr>
                <w:rFonts w:ascii="Times New Roman" w:eastAsia="Times New Roman" w:hAnsi="Times New Roman" w:cs="Times New Roman"/>
                <w:szCs w:val="24"/>
              </w:rPr>
              <w:t>ъ</w:t>
            </w:r>
            <w:r>
              <w:rPr>
                <w:rFonts w:ascii="Times New Roman" w:eastAsia="Times New Roman" w:hAnsi="Times New Roman" w:cs="Times New Roman"/>
                <w:szCs w:val="24"/>
              </w:rPr>
              <w:t>ж</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ц</w:t>
            </w:r>
            <w:r>
              <w:rPr>
                <w:rFonts w:ascii="Times New Roman" w:eastAsia="Times New Roman" w:hAnsi="Times New Roman" w:cs="Times New Roman"/>
                <w:szCs w:val="24"/>
              </w:rPr>
              <w:t>е</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л</w:t>
            </w:r>
            <w:r>
              <w:rPr>
                <w:rFonts w:ascii="Times New Roman" w:eastAsia="Times New Roman" w:hAnsi="Times New Roman" w:cs="Times New Roman"/>
                <w:szCs w:val="24"/>
              </w:rPr>
              <w:t>а</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д</w:t>
            </w:r>
            <w:r>
              <w:rPr>
                <w:rFonts w:ascii="Times New Roman" w:eastAsia="Times New Roman" w:hAnsi="Times New Roman" w:cs="Times New Roman"/>
                <w:szCs w:val="24"/>
              </w:rPr>
              <w:t>и</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ж</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з</w:t>
            </w:r>
            <w:r>
              <w:rPr>
                <w:rFonts w:ascii="Times New Roman" w:eastAsia="Times New Roman" w:hAnsi="Times New Roman" w:cs="Times New Roman"/>
                <w:szCs w:val="24"/>
              </w:rPr>
              <w:t>у</w:t>
            </w:r>
            <w:r>
              <w:rPr>
                <w:rFonts w:ascii="Times New Roman" w:eastAsia="Times New Roman" w:hAnsi="Times New Roman" w:cs="Times New Roman"/>
                <w:szCs w:val="24"/>
              </w:rPr>
              <w:t>л</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ф</w:t>
            </w:r>
            <w:r>
              <w:rPr>
                <w:rFonts w:ascii="Times New Roman" w:eastAsia="Times New Roman" w:hAnsi="Times New Roman" w:cs="Times New Roman"/>
                <w:szCs w:val="24"/>
              </w:rPr>
              <w:t>и</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к</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х</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л</w:t>
            </w:r>
            <w:r>
              <w:rPr>
                <w:rFonts w:ascii="Times New Roman" w:eastAsia="Times New Roman" w:hAnsi="Times New Roman" w:cs="Times New Roman"/>
                <w:szCs w:val="24"/>
              </w:rPr>
              <w:t>я</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р</w:t>
            </w:r>
            <w:r>
              <w:rPr>
                <w:rFonts w:ascii="Times New Roman" w:eastAsia="Times New Roman" w:hAnsi="Times New Roman" w:cs="Times New Roman"/>
                <w:szCs w:val="24"/>
              </w:rPr>
              <w:t>у</w:t>
            </w:r>
            <w:r>
              <w:rPr>
                <w:rFonts w:ascii="Times New Roman" w:eastAsia="Times New Roman" w:hAnsi="Times New Roman" w:cs="Times New Roman"/>
                <w:szCs w:val="24"/>
              </w:rPr>
              <w:t>г</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7</w:t>
            </w:r>
            <w:r>
              <w:rPr>
                <w:rFonts w:ascii="Times New Roman" w:eastAsia="Times New Roman" w:hAnsi="Times New Roman" w:cs="Times New Roman"/>
                <w:szCs w:val="24"/>
              </w:rPr>
              <w:t>.</w:t>
            </w:r>
            <w:r>
              <w:rPr>
                <w:rFonts w:ascii="Times New Roman" w:eastAsia="Times New Roman" w:hAnsi="Times New Roman" w:cs="Times New Roman"/>
                <w:szCs w:val="24"/>
              </w:rPr>
              <w:t>6</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sym w:font="Times New Roman" w:char="F0FC"/>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8</w:t>
            </w:r>
            <w:r>
              <w:rPr>
                <w:rFonts w:ascii="Times New Roman" w:eastAsia="Times New Roman" w:hAnsi="Times New Roman" w:cs="Times New Roman"/>
                <w:szCs w:val="24"/>
              </w:rPr>
              <w:t>.</w:t>
            </w:r>
            <w:r>
              <w:rPr>
                <w:rFonts w:ascii="Times New Roman" w:eastAsia="Times New Roman" w:hAnsi="Times New Roman" w:cs="Times New Roman"/>
                <w:szCs w:val="24"/>
              </w:rPr>
              <w:t>3</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щ</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о</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о</w:t>
            </w:r>
            <w:r>
              <w:rPr>
                <w:rFonts w:ascii="Times New Roman" w:eastAsia="Times New Roman" w:hAnsi="Times New Roman" w:cs="Times New Roman"/>
                <w:szCs w:val="24"/>
              </w:rPr>
              <w:t>р</w:t>
            </w:r>
            <w:r>
              <w:rPr>
                <w:rFonts w:ascii="Times New Roman" w:eastAsia="Times New Roman" w:hAnsi="Times New Roman" w:cs="Times New Roman"/>
                <w:szCs w:val="24"/>
              </w:rPr>
              <w:t>с</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ж</w:t>
            </w:r>
            <w:r>
              <w:rPr>
                <w:rFonts w:ascii="Times New Roman" w:eastAsia="Times New Roman" w:hAnsi="Times New Roman" w:cs="Times New Roman"/>
                <w:szCs w:val="24"/>
              </w:rPr>
              <w:t>а</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ф</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ъ</w:t>
            </w:r>
            <w:r>
              <w:rPr>
                <w:rFonts w:ascii="Times New Roman" w:eastAsia="Times New Roman" w:hAnsi="Times New Roman" w:cs="Times New Roman"/>
                <w:szCs w:val="24"/>
              </w:rPr>
              <w:t>б</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ц</w:t>
            </w:r>
            <w:r>
              <w:rPr>
                <w:rFonts w:ascii="Times New Roman" w:eastAsia="Times New Roman" w:hAnsi="Times New Roman" w:cs="Times New Roman"/>
                <w:szCs w:val="24"/>
              </w:rPr>
              <w:t>е</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л</w:t>
            </w:r>
            <w:r>
              <w:rPr>
                <w:rFonts w:ascii="Times New Roman" w:eastAsia="Times New Roman" w:hAnsi="Times New Roman" w:cs="Times New Roman"/>
                <w:szCs w:val="24"/>
              </w:rPr>
              <w:t>а</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д</w:t>
            </w:r>
            <w:r>
              <w:rPr>
                <w:rFonts w:ascii="Times New Roman" w:eastAsia="Times New Roman" w:hAnsi="Times New Roman" w:cs="Times New Roman"/>
                <w:szCs w:val="24"/>
              </w:rPr>
              <w:t>и</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ж</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з</w:t>
            </w:r>
            <w:r>
              <w:rPr>
                <w:rFonts w:ascii="Times New Roman" w:eastAsia="Times New Roman" w:hAnsi="Times New Roman" w:cs="Times New Roman"/>
                <w:szCs w:val="24"/>
              </w:rPr>
              <w:t>у</w:t>
            </w:r>
            <w:r>
              <w:rPr>
                <w:rFonts w:ascii="Times New Roman" w:eastAsia="Times New Roman" w:hAnsi="Times New Roman" w:cs="Times New Roman"/>
                <w:szCs w:val="24"/>
              </w:rPr>
              <w:t>л</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ъ</w:t>
            </w:r>
            <w:r>
              <w:rPr>
                <w:rFonts w:ascii="Times New Roman" w:eastAsia="Times New Roman" w:hAnsi="Times New Roman" w:cs="Times New Roman"/>
                <w:szCs w:val="24"/>
              </w:rPr>
              <w:t>х</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ф</w:t>
            </w:r>
            <w:r>
              <w:rPr>
                <w:rFonts w:ascii="Times New Roman" w:eastAsia="Times New Roman" w:hAnsi="Times New Roman" w:cs="Times New Roman"/>
                <w:szCs w:val="24"/>
              </w:rPr>
              <w:t>и</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г</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б</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3</w:t>
            </w:r>
            <w:r>
              <w:rPr>
                <w:rFonts w:ascii="Times New Roman" w:eastAsia="Times New Roman" w:hAnsi="Times New Roman" w:cs="Times New Roman"/>
                <w:szCs w:val="24"/>
              </w:rPr>
              <w:t>.</w:t>
            </w:r>
            <w:r>
              <w:rPr>
                <w:rFonts w:ascii="Times New Roman" w:eastAsia="Times New Roman" w:hAnsi="Times New Roman" w:cs="Times New Roman"/>
                <w:szCs w:val="24"/>
              </w:rPr>
              <w:t>4</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sym w:font="Times New Roman" w:char="F0FC"/>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8</w:t>
            </w:r>
            <w:r>
              <w:rPr>
                <w:rFonts w:ascii="Times New Roman" w:eastAsia="Times New Roman" w:hAnsi="Times New Roman" w:cs="Times New Roman"/>
                <w:szCs w:val="24"/>
              </w:rPr>
              <w:t>.</w:t>
            </w:r>
            <w:r>
              <w:rPr>
                <w:rFonts w:ascii="Times New Roman" w:eastAsia="Times New Roman" w:hAnsi="Times New Roman" w:cs="Times New Roman"/>
                <w:szCs w:val="24"/>
              </w:rPr>
              <w:t>4</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з</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в</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щ</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о</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о</w:t>
            </w:r>
            <w:r>
              <w:rPr>
                <w:rFonts w:ascii="Times New Roman" w:eastAsia="Times New Roman" w:hAnsi="Times New Roman" w:cs="Times New Roman"/>
                <w:szCs w:val="24"/>
              </w:rPr>
              <w:t>р</w:t>
            </w:r>
            <w:r>
              <w:rPr>
                <w:rFonts w:ascii="Times New Roman" w:eastAsia="Times New Roman" w:hAnsi="Times New Roman" w:cs="Times New Roman"/>
                <w:szCs w:val="24"/>
              </w:rPr>
              <w:t>с</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ж</w:t>
            </w:r>
            <w:r>
              <w:rPr>
                <w:rFonts w:ascii="Times New Roman" w:eastAsia="Times New Roman" w:hAnsi="Times New Roman" w:cs="Times New Roman"/>
                <w:szCs w:val="24"/>
              </w:rPr>
              <w:t>а</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ф</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ъ</w:t>
            </w:r>
            <w:r>
              <w:rPr>
                <w:rFonts w:ascii="Times New Roman" w:eastAsia="Times New Roman" w:hAnsi="Times New Roman" w:cs="Times New Roman"/>
                <w:szCs w:val="24"/>
              </w:rPr>
              <w:t>б</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ц</w:t>
            </w:r>
            <w:r>
              <w:rPr>
                <w:rFonts w:ascii="Times New Roman" w:eastAsia="Times New Roman" w:hAnsi="Times New Roman" w:cs="Times New Roman"/>
                <w:szCs w:val="24"/>
              </w:rPr>
              <w:t>е</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л</w:t>
            </w:r>
            <w:r>
              <w:rPr>
                <w:rFonts w:ascii="Times New Roman" w:eastAsia="Times New Roman" w:hAnsi="Times New Roman" w:cs="Times New Roman"/>
                <w:szCs w:val="24"/>
              </w:rPr>
              <w:t>а</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д</w:t>
            </w:r>
            <w:r>
              <w:rPr>
                <w:rFonts w:ascii="Times New Roman" w:eastAsia="Times New Roman" w:hAnsi="Times New Roman" w:cs="Times New Roman"/>
                <w:szCs w:val="24"/>
              </w:rPr>
              <w:t>и</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ж</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з</w:t>
            </w:r>
            <w:r>
              <w:rPr>
                <w:rFonts w:ascii="Times New Roman" w:eastAsia="Times New Roman" w:hAnsi="Times New Roman" w:cs="Times New Roman"/>
                <w:szCs w:val="24"/>
              </w:rPr>
              <w:t>у</w:t>
            </w:r>
            <w:r>
              <w:rPr>
                <w:rFonts w:ascii="Times New Roman" w:eastAsia="Times New Roman" w:hAnsi="Times New Roman" w:cs="Times New Roman"/>
                <w:szCs w:val="24"/>
              </w:rPr>
              <w:t>л</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ф</w:t>
            </w:r>
            <w:r>
              <w:rPr>
                <w:rFonts w:ascii="Times New Roman" w:eastAsia="Times New Roman" w:hAnsi="Times New Roman" w:cs="Times New Roman"/>
                <w:szCs w:val="24"/>
              </w:rPr>
              <w:t>и</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к</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х</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л</w:t>
            </w:r>
            <w:r>
              <w:rPr>
                <w:rFonts w:ascii="Times New Roman" w:eastAsia="Times New Roman" w:hAnsi="Times New Roman" w:cs="Times New Roman"/>
                <w:szCs w:val="24"/>
              </w:rPr>
              <w:t>я</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р</w:t>
            </w:r>
            <w:r>
              <w:rPr>
                <w:rFonts w:ascii="Times New Roman" w:eastAsia="Times New Roman" w:hAnsi="Times New Roman" w:cs="Times New Roman"/>
                <w:szCs w:val="24"/>
              </w:rPr>
              <w:t>у</w:t>
            </w:r>
            <w:r>
              <w:rPr>
                <w:rFonts w:ascii="Times New Roman" w:eastAsia="Times New Roman" w:hAnsi="Times New Roman" w:cs="Times New Roman"/>
                <w:szCs w:val="24"/>
              </w:rPr>
              <w:t>г</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5</w:t>
            </w:r>
            <w:r>
              <w:rPr>
                <w:rFonts w:ascii="Times New Roman" w:eastAsia="Times New Roman" w:hAnsi="Times New Roman" w:cs="Times New Roman"/>
                <w:szCs w:val="24"/>
              </w:rPr>
              <w:t>.</w:t>
            </w:r>
            <w:r>
              <w:rPr>
                <w:rFonts w:ascii="Times New Roman" w:eastAsia="Times New Roman" w:hAnsi="Times New Roman" w:cs="Times New Roman"/>
                <w:szCs w:val="24"/>
              </w:rPr>
              <w:t>6</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sym w:font="Times New Roman" w:char="F0FC"/>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8</w:t>
            </w:r>
            <w:r>
              <w:rPr>
                <w:rFonts w:ascii="Times New Roman" w:eastAsia="Times New Roman" w:hAnsi="Times New Roman" w:cs="Times New Roman"/>
                <w:szCs w:val="24"/>
              </w:rPr>
              <w:t>.</w:t>
            </w:r>
            <w:r>
              <w:rPr>
                <w:rFonts w:ascii="Times New Roman" w:eastAsia="Times New Roman" w:hAnsi="Times New Roman" w:cs="Times New Roman"/>
                <w:szCs w:val="24"/>
              </w:rPr>
              <w:t>6</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х</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л</w:t>
            </w:r>
            <w:r>
              <w:rPr>
                <w:rFonts w:ascii="Times New Roman" w:eastAsia="Times New Roman" w:hAnsi="Times New Roman" w:cs="Times New Roman"/>
                <w:szCs w:val="24"/>
              </w:rPr>
              <w:t>о</w:t>
            </w:r>
            <w:r>
              <w:rPr>
                <w:rFonts w:ascii="Times New Roman" w:eastAsia="Times New Roman" w:hAnsi="Times New Roman" w:cs="Times New Roman"/>
                <w:szCs w:val="24"/>
              </w:rPr>
              <w:t>г</w:t>
            </w:r>
            <w:r>
              <w:rPr>
                <w:rFonts w:ascii="Times New Roman" w:eastAsia="Times New Roman" w:hAnsi="Times New Roman" w:cs="Times New Roman"/>
                <w:szCs w:val="24"/>
              </w:rPr>
              <w:t>и</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о</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б</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о</w:t>
            </w:r>
            <w:r>
              <w:rPr>
                <w:rFonts w:ascii="Times New Roman" w:eastAsia="Times New Roman" w:hAnsi="Times New Roman" w:cs="Times New Roman"/>
                <w:szCs w:val="24"/>
              </w:rPr>
              <w:t>б</w:t>
            </w:r>
            <w:r>
              <w:rPr>
                <w:rFonts w:ascii="Times New Roman" w:eastAsia="Times New Roman" w:hAnsi="Times New Roman" w:cs="Times New Roman"/>
                <w:szCs w:val="24"/>
              </w:rPr>
              <w:t>и</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з</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г</w:t>
            </w:r>
            <w:r>
              <w:rPr>
                <w:rFonts w:ascii="Times New Roman" w:eastAsia="Times New Roman" w:hAnsi="Times New Roman" w:cs="Times New Roman"/>
                <w:szCs w:val="24"/>
              </w:rPr>
              <w:t>о</w:t>
            </w:r>
            <w:r>
              <w:rPr>
                <w:rFonts w:ascii="Times New Roman" w:eastAsia="Times New Roman" w:hAnsi="Times New Roman" w:cs="Times New Roman"/>
                <w:szCs w:val="24"/>
              </w:rPr>
              <w:t>в</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о</w:t>
            </w:r>
            <w:r>
              <w:rPr>
                <w:rFonts w:ascii="Times New Roman" w:eastAsia="Times New Roman" w:hAnsi="Times New Roman" w:cs="Times New Roman"/>
                <w:szCs w:val="24"/>
              </w:rPr>
              <w:t>р</w:t>
            </w:r>
            <w:r>
              <w:rPr>
                <w:rFonts w:ascii="Times New Roman" w:eastAsia="Times New Roman" w:hAnsi="Times New Roman" w:cs="Times New Roman"/>
                <w:szCs w:val="24"/>
              </w:rPr>
              <w:t>с</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у</w:t>
            </w:r>
            <w:r>
              <w:rPr>
                <w:rFonts w:ascii="Times New Roman" w:eastAsia="Times New Roman" w:hAnsi="Times New Roman" w:cs="Times New Roman"/>
                <w:szCs w:val="24"/>
              </w:rPr>
              <w:t>к</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ц</w:t>
            </w:r>
            <w:r>
              <w:rPr>
                <w:rFonts w:ascii="Times New Roman" w:eastAsia="Times New Roman" w:hAnsi="Times New Roman" w:cs="Times New Roman"/>
                <w:szCs w:val="24"/>
              </w:rPr>
              <w:t>е</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л</w:t>
            </w:r>
            <w:r>
              <w:rPr>
                <w:rFonts w:ascii="Times New Roman" w:eastAsia="Times New Roman" w:hAnsi="Times New Roman" w:cs="Times New Roman"/>
                <w:szCs w:val="24"/>
              </w:rPr>
              <w:t>а</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д</w:t>
            </w:r>
            <w:r>
              <w:rPr>
                <w:rFonts w:ascii="Times New Roman" w:eastAsia="Times New Roman" w:hAnsi="Times New Roman" w:cs="Times New Roman"/>
                <w:szCs w:val="24"/>
              </w:rPr>
              <w:t>и</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ж</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з</w:t>
            </w:r>
            <w:r>
              <w:rPr>
                <w:rFonts w:ascii="Times New Roman" w:eastAsia="Times New Roman" w:hAnsi="Times New Roman" w:cs="Times New Roman"/>
                <w:szCs w:val="24"/>
              </w:rPr>
              <w:t>у</w:t>
            </w:r>
            <w:r>
              <w:rPr>
                <w:rFonts w:ascii="Times New Roman" w:eastAsia="Times New Roman" w:hAnsi="Times New Roman" w:cs="Times New Roman"/>
                <w:szCs w:val="24"/>
              </w:rPr>
              <w:t>л</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ъ</w:t>
            </w:r>
            <w:r>
              <w:rPr>
                <w:rFonts w:ascii="Times New Roman" w:eastAsia="Times New Roman" w:hAnsi="Times New Roman" w:cs="Times New Roman"/>
                <w:szCs w:val="24"/>
              </w:rPr>
              <w:t>х</w:t>
            </w:r>
            <w:r>
              <w:rPr>
                <w:rFonts w:ascii="Times New Roman" w:eastAsia="Times New Roman" w:hAnsi="Times New Roman" w:cs="Times New Roman"/>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ф</w:t>
            </w:r>
            <w:r>
              <w:rPr>
                <w:rFonts w:ascii="Times New Roman" w:eastAsia="Times New Roman" w:hAnsi="Times New Roman" w:cs="Times New Roman"/>
                <w:szCs w:val="24"/>
              </w:rPr>
              <w:t>и</w:t>
            </w:r>
            <w:r>
              <w:rPr>
                <w:rFonts w:ascii="Times New Roman" w:eastAsia="Times New Roman" w:hAnsi="Times New Roman" w:cs="Times New Roman"/>
                <w:szCs w:val="24"/>
              </w:rPr>
              <w:t>ц</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г</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б</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о</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и</w:t>
            </w:r>
            <w:r>
              <w:rPr>
                <w:rFonts w:ascii="Times New Roman" w:eastAsia="Times New Roman" w:hAnsi="Times New Roman" w:cs="Times New Roman"/>
                <w:szCs w:val="24"/>
              </w:rPr>
              <w:t>м</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я</w:t>
            </w:r>
            <w:r>
              <w:rPr>
                <w:rFonts w:ascii="Times New Roman" w:eastAsia="Times New Roman" w:hAnsi="Times New Roman" w:cs="Times New Roman"/>
                <w:szCs w:val="24"/>
              </w:rPr>
              <w:t>в</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я</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5</w:t>
            </w:r>
            <w:r>
              <w:rPr>
                <w:rFonts w:ascii="Times New Roman" w:eastAsia="Times New Roman" w:hAnsi="Times New Roman" w:cs="Times New Roman"/>
                <w:szCs w:val="24"/>
              </w:rPr>
              <w:t>0</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х</w:t>
            </w:r>
            <w:r>
              <w:rPr>
                <w:rFonts w:ascii="Times New Roman" w:eastAsia="Times New Roman" w:hAnsi="Times New Roman" w:cs="Times New Roman"/>
                <w:szCs w:val="24"/>
              </w:rPr>
              <w:t>и</w:t>
            </w:r>
            <w:r>
              <w:rPr>
                <w:rFonts w:ascii="Times New Roman" w:eastAsia="Times New Roman" w:hAnsi="Times New Roman" w:cs="Times New Roman"/>
                <w:szCs w:val="24"/>
              </w:rPr>
              <w:t>л</w:t>
            </w:r>
            <w:r>
              <w:rPr>
                <w:rFonts w:ascii="Times New Roman" w:eastAsia="Times New Roman" w:hAnsi="Times New Roman" w:cs="Times New Roman"/>
                <w:szCs w:val="24"/>
              </w:rPr>
              <w:t>я</w:t>
            </w:r>
            <w:r>
              <w:rPr>
                <w:rFonts w:ascii="Times New Roman" w:eastAsia="Times New Roman" w:hAnsi="Times New Roman" w:cs="Times New Roman"/>
                <w:szCs w:val="24"/>
              </w:rPr>
              <w:t>д</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sym w:font="Times New Roman" w:char="F0FC"/>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4</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Х</w:t>
            </w:r>
            <w:r>
              <w:rPr>
                <w:rFonts w:ascii="Times New Roman" w:eastAsia="Times New Roman" w:hAnsi="Times New Roman" w:cs="Times New Roman"/>
                <w:szCs w:val="24"/>
              </w:rPr>
              <w:t>у</w:t>
            </w:r>
            <w:r>
              <w:rPr>
                <w:rFonts w:ascii="Times New Roman" w:eastAsia="Times New Roman" w:hAnsi="Times New Roman" w:cs="Times New Roman"/>
                <w:szCs w:val="24"/>
              </w:rPr>
              <w:t>м</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н</w:t>
            </w:r>
            <w:r>
              <w:rPr>
                <w:rFonts w:ascii="Times New Roman" w:eastAsia="Times New Roman" w:hAnsi="Times New Roman" w:cs="Times New Roman"/>
                <w:szCs w:val="24"/>
              </w:rPr>
              <w:t>о</w:t>
            </w:r>
            <w:r>
              <w:rPr>
                <w:rFonts w:ascii="Times New Roman" w:eastAsia="Times New Roman" w:hAnsi="Times New Roman" w:cs="Times New Roman"/>
                <w:szCs w:val="24"/>
              </w:rPr>
              <w:t>ш</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ж</w:t>
            </w:r>
            <w:r>
              <w:rPr>
                <w:rFonts w:ascii="Times New Roman" w:eastAsia="Times New Roman" w:hAnsi="Times New Roman" w:cs="Times New Roman"/>
                <w:szCs w:val="24"/>
              </w:rPr>
              <w:t>и</w:t>
            </w:r>
            <w:r>
              <w:rPr>
                <w:rFonts w:ascii="Times New Roman" w:eastAsia="Times New Roman" w:hAnsi="Times New Roman" w:cs="Times New Roman"/>
                <w:szCs w:val="24"/>
              </w:rPr>
              <w:t>в</w:t>
            </w:r>
            <w:r>
              <w:rPr>
                <w:rFonts w:ascii="Times New Roman" w:eastAsia="Times New Roman" w:hAnsi="Times New Roman" w:cs="Times New Roman"/>
                <w:szCs w:val="24"/>
              </w:rPr>
              <w:t>о</w:t>
            </w:r>
            <w:r>
              <w:rPr>
                <w:rFonts w:ascii="Times New Roman" w:eastAsia="Times New Roman" w:hAnsi="Times New Roman" w:cs="Times New Roman"/>
                <w:szCs w:val="24"/>
              </w:rPr>
              <w:t>т</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т</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м</w:t>
            </w:r>
            <w:r>
              <w:rPr>
                <w:rFonts w:ascii="Times New Roman" w:eastAsia="Times New Roman" w:hAnsi="Times New Roman" w:cs="Times New Roman"/>
                <w:szCs w:val="24"/>
              </w:rPr>
              <w:t>п</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б</w:t>
            </w:r>
            <w:r>
              <w:rPr>
                <w:rFonts w:ascii="Times New Roman" w:eastAsia="Times New Roman" w:hAnsi="Times New Roman" w:cs="Times New Roman"/>
                <w:szCs w:val="24"/>
              </w:rPr>
              <w:t>щ</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п</w:t>
            </w:r>
            <w:r>
              <w:rPr>
                <w:rFonts w:ascii="Times New Roman" w:eastAsia="Times New Roman" w:hAnsi="Times New Roman" w:cs="Times New Roman"/>
                <w:szCs w:val="24"/>
              </w:rPr>
              <w:t>л</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т</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я</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6</w:t>
            </w:r>
            <w:r>
              <w:rPr>
                <w:rFonts w:ascii="Times New Roman" w:eastAsia="Times New Roman" w:hAnsi="Times New Roman" w:cs="Times New Roman"/>
                <w:szCs w:val="24"/>
              </w:rPr>
              <w:t>.</w:t>
            </w:r>
            <w:r>
              <w:rPr>
                <w:rFonts w:ascii="Times New Roman" w:eastAsia="Times New Roman" w:hAnsi="Times New Roman" w:cs="Times New Roman"/>
                <w:szCs w:val="24"/>
              </w:rPr>
              <w:t>7</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б</w:t>
            </w:r>
            <w:r>
              <w:rPr>
                <w:rFonts w:ascii="Times New Roman" w:eastAsia="Times New Roman" w:hAnsi="Times New Roman" w:cs="Times New Roman"/>
                <w:szCs w:val="24"/>
              </w:rPr>
              <w:t>ю</w:t>
            </w:r>
            <w:r>
              <w:rPr>
                <w:rFonts w:ascii="Times New Roman" w:eastAsia="Times New Roman" w:hAnsi="Times New Roman" w:cs="Times New Roman"/>
                <w:szCs w:val="24"/>
              </w:rPr>
              <w:t>д</w:t>
            </w:r>
            <w:r>
              <w:rPr>
                <w:rFonts w:ascii="Times New Roman" w:eastAsia="Times New Roman" w:hAnsi="Times New Roman" w:cs="Times New Roman"/>
                <w:szCs w:val="24"/>
              </w:rPr>
              <w:t>ж</w:t>
            </w:r>
            <w:r>
              <w:rPr>
                <w:rFonts w:ascii="Times New Roman" w:eastAsia="Times New Roman" w:hAnsi="Times New Roman" w:cs="Times New Roman"/>
                <w:szCs w:val="24"/>
              </w:rPr>
              <w:t>е</w:t>
            </w:r>
            <w:r>
              <w:rPr>
                <w:rFonts w:ascii="Times New Roman" w:eastAsia="Times New Roman" w:hAnsi="Times New Roman" w:cs="Times New Roman"/>
                <w:szCs w:val="24"/>
              </w:rPr>
              <w:t>т</w:t>
            </w:r>
            <w:r>
              <w:rPr>
                <w:rFonts w:ascii="Times New Roman" w:eastAsia="Times New Roman" w:hAnsi="Times New Roman" w:cs="Times New Roman"/>
                <w:szCs w:val="24"/>
              </w:rPr>
              <w:t xml:space="preserve"> </w:t>
            </w:r>
            <w:r>
              <w:rPr>
                <w:rFonts w:ascii="Times New Roman" w:eastAsia="Times New Roman" w:hAnsi="Times New Roman" w:cs="Times New Roman"/>
                <w:szCs w:val="24"/>
              </w:rPr>
              <w:t>3</w:t>
            </w:r>
            <w:r>
              <w:rPr>
                <w:rFonts w:ascii="Times New Roman" w:eastAsia="Times New Roman" w:hAnsi="Times New Roman" w:cs="Times New Roman"/>
                <w:szCs w:val="24"/>
              </w:rPr>
              <w:t>5</w:t>
            </w:r>
            <w:r>
              <w:rPr>
                <w:rFonts w:ascii="Times New Roman" w:eastAsia="Times New Roman" w:hAnsi="Times New Roman" w:cs="Times New Roman"/>
                <w:szCs w:val="24"/>
              </w:rPr>
              <w:t>.</w:t>
            </w:r>
            <w:r>
              <w:rPr>
                <w:rFonts w:ascii="Times New Roman" w:eastAsia="Times New Roman" w:hAnsi="Times New Roman" w:cs="Times New Roman"/>
                <w:szCs w:val="24"/>
              </w:rPr>
              <w:t>8</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г</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е</w:t>
            </w:r>
            <w:r>
              <w:rPr>
                <w:rFonts w:ascii="Times New Roman" w:eastAsia="Times New Roman" w:hAnsi="Times New Roman" w:cs="Times New Roman"/>
                <w:szCs w:val="24"/>
              </w:rPr>
              <w:t>н</w:t>
            </w:r>
            <w:r>
              <w:rPr>
                <w:rFonts w:ascii="Times New Roman" w:eastAsia="Times New Roman" w:hAnsi="Times New Roman" w:cs="Times New Roman"/>
                <w:szCs w:val="24"/>
              </w:rPr>
              <w:t xml:space="preserve"> </w:t>
            </w:r>
            <w:r>
              <w:rPr>
                <w:rFonts w:ascii="Times New Roman" w:eastAsia="Times New Roman" w:hAnsi="Times New Roman" w:cs="Times New Roman"/>
                <w:szCs w:val="24"/>
              </w:rPr>
              <w:t>о</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а</w:t>
            </w:r>
            <w:r>
              <w:rPr>
                <w:rFonts w:ascii="Times New Roman" w:eastAsia="Times New Roman" w:hAnsi="Times New Roman" w:cs="Times New Roman"/>
                <w:szCs w:val="24"/>
              </w:rPr>
              <w:t>т</w:t>
            </w:r>
            <w:r>
              <w:rPr>
                <w:rFonts w:ascii="Times New Roman" w:eastAsia="Times New Roman" w:hAnsi="Times New Roman" w:cs="Times New Roman"/>
                <w:szCs w:val="24"/>
              </w:rPr>
              <w:t>ъ</w:t>
            </w:r>
            <w:r>
              <w:rPr>
                <w:rFonts w:ascii="Times New Roman" w:eastAsia="Times New Roman" w:hAnsi="Times New Roman" w:cs="Times New Roman"/>
                <w:szCs w:val="24"/>
              </w:rPr>
              <w:t>к</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х</w:t>
            </w:r>
            <w:r>
              <w:rPr>
                <w:rFonts w:ascii="Times New Roman" w:eastAsia="Times New Roman" w:hAnsi="Times New Roman" w:cs="Times New Roman"/>
                <w:szCs w:val="24"/>
              </w:rPr>
              <w:t>в</w:t>
            </w:r>
            <w:r>
              <w:rPr>
                <w:rFonts w:ascii="Times New Roman" w:eastAsia="Times New Roman" w:hAnsi="Times New Roman" w:cs="Times New Roman"/>
                <w:szCs w:val="24"/>
              </w:rPr>
              <w:t>ъ</w:t>
            </w:r>
            <w:r>
              <w:rPr>
                <w:rFonts w:ascii="Times New Roman" w:eastAsia="Times New Roman" w:hAnsi="Times New Roman" w:cs="Times New Roman"/>
                <w:szCs w:val="24"/>
              </w:rPr>
              <w:t>р</w:t>
            </w:r>
            <w:r>
              <w:rPr>
                <w:rFonts w:ascii="Times New Roman" w:eastAsia="Times New Roman" w:hAnsi="Times New Roman" w:cs="Times New Roman"/>
                <w:szCs w:val="24"/>
              </w:rPr>
              <w:t>л</w:t>
            </w:r>
            <w:r>
              <w:rPr>
                <w:rFonts w:ascii="Times New Roman" w:eastAsia="Times New Roman" w:hAnsi="Times New Roman" w:cs="Times New Roman"/>
                <w:szCs w:val="24"/>
              </w:rPr>
              <w:t>я</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ъ</w:t>
            </w:r>
            <w:r>
              <w:rPr>
                <w:rFonts w:ascii="Times New Roman" w:eastAsia="Times New Roman" w:hAnsi="Times New Roman" w:cs="Times New Roman"/>
                <w:szCs w:val="24"/>
              </w:rPr>
              <w:t>м</w:t>
            </w:r>
            <w:r>
              <w:rPr>
                <w:rFonts w:ascii="Times New Roman" w:eastAsia="Times New Roman" w:hAnsi="Times New Roman" w:cs="Times New Roman"/>
                <w:szCs w:val="24"/>
              </w:rPr>
              <w:t xml:space="preserve"> </w:t>
            </w:r>
            <w:r>
              <w:rPr>
                <w:rFonts w:ascii="Times New Roman" w:eastAsia="Times New Roman" w:hAnsi="Times New Roman" w:cs="Times New Roman"/>
                <w:szCs w:val="24"/>
              </w:rPr>
              <w:t>д</w:t>
            </w:r>
            <w:r>
              <w:rPr>
                <w:rFonts w:ascii="Times New Roman" w:eastAsia="Times New Roman" w:hAnsi="Times New Roman" w:cs="Times New Roman"/>
                <w:szCs w:val="24"/>
              </w:rPr>
              <w:t>р</w:t>
            </w:r>
            <w:r>
              <w:rPr>
                <w:rFonts w:ascii="Times New Roman" w:eastAsia="Times New Roman" w:hAnsi="Times New Roman" w:cs="Times New Roman"/>
                <w:szCs w:val="24"/>
              </w:rPr>
              <w:t>у</w:t>
            </w:r>
            <w:r>
              <w:rPr>
                <w:rFonts w:ascii="Times New Roman" w:eastAsia="Times New Roman" w:hAnsi="Times New Roman" w:cs="Times New Roman"/>
                <w:szCs w:val="24"/>
              </w:rPr>
              <w:t>г</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w:t>
            </w:r>
            <w:r>
              <w:rPr>
                <w:rFonts w:ascii="Times New Roman" w:eastAsia="Times New Roman" w:hAnsi="Times New Roman" w:cs="Times New Roman"/>
                <w:szCs w:val="24"/>
              </w:rPr>
              <w:t>п</w:t>
            </w:r>
            <w:r>
              <w:rPr>
                <w:rFonts w:ascii="Times New Roman" w:eastAsia="Times New Roman" w:hAnsi="Times New Roman" w:cs="Times New Roman"/>
                <w:szCs w:val="24"/>
              </w:rPr>
              <w:t>о</w:t>
            </w:r>
            <w:r>
              <w:rPr>
                <w:rFonts w:ascii="Times New Roman" w:eastAsia="Times New Roman" w:hAnsi="Times New Roman" w:cs="Times New Roman"/>
                <w:szCs w:val="24"/>
              </w:rPr>
              <w:t>д</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к</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з</w:t>
            </w:r>
            <w:r>
              <w:rPr>
                <w:rFonts w:ascii="Times New Roman" w:eastAsia="Times New Roman" w:hAnsi="Times New Roman" w:cs="Times New Roman"/>
                <w:szCs w:val="24"/>
              </w:rPr>
              <w:t>м</w:t>
            </w:r>
            <w:r>
              <w:rPr>
                <w:rFonts w:ascii="Times New Roman" w:eastAsia="Times New Roman" w:hAnsi="Times New Roman" w:cs="Times New Roman"/>
                <w:szCs w:val="24"/>
              </w:rPr>
              <w:t>е</w:t>
            </w:r>
            <w:r>
              <w:rPr>
                <w:rFonts w:ascii="Times New Roman" w:eastAsia="Times New Roman" w:hAnsi="Times New Roman" w:cs="Times New Roman"/>
                <w:szCs w:val="24"/>
              </w:rPr>
              <w:t>р</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1</w:t>
            </w:r>
            <w:r>
              <w:rPr>
                <w:rFonts w:ascii="Times New Roman" w:eastAsia="Times New Roman" w:hAnsi="Times New Roman" w:cs="Times New Roman"/>
                <w:szCs w:val="24"/>
              </w:rPr>
              <w:t>9</w:t>
            </w:r>
            <w:r>
              <w:rPr>
                <w:rFonts w:ascii="Times New Roman" w:eastAsia="Times New Roman" w:hAnsi="Times New Roman" w:cs="Times New Roman"/>
                <w:szCs w:val="24"/>
              </w:rPr>
              <w:t>.</w:t>
            </w:r>
            <w:r>
              <w:rPr>
                <w:rFonts w:ascii="Times New Roman" w:eastAsia="Times New Roman" w:hAnsi="Times New Roman" w:cs="Times New Roman"/>
                <w:szCs w:val="24"/>
              </w:rPr>
              <w:t>1</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w:t>
            </w:r>
            <w:r>
              <w:rPr>
                <w:rFonts w:ascii="Times New Roman" w:eastAsia="Times New Roman" w:hAnsi="Times New Roman" w:cs="Times New Roman"/>
                <w:szCs w:val="24"/>
              </w:rPr>
              <w:t>с</w:t>
            </w:r>
            <w:r>
              <w:rPr>
                <w:rFonts w:ascii="Times New Roman" w:eastAsia="Times New Roman" w:hAnsi="Times New Roman" w:cs="Times New Roman"/>
                <w:szCs w:val="24"/>
              </w:rPr>
              <w:t>л</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 xml:space="preserve"> </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г</w:t>
            </w:r>
            <w:r>
              <w:rPr>
                <w:rFonts w:ascii="Times New Roman" w:eastAsia="Times New Roman" w:hAnsi="Times New Roman" w:cs="Times New Roman"/>
                <w:szCs w:val="24"/>
              </w:rPr>
              <w:t>а</w:t>
            </w:r>
            <w:r>
              <w:rPr>
                <w:rFonts w:ascii="Times New Roman" w:eastAsia="Times New Roman" w:hAnsi="Times New Roman" w:cs="Times New Roman"/>
                <w:szCs w:val="24"/>
              </w:rPr>
              <w:t>ж</w:t>
            </w:r>
            <w:r>
              <w:rPr>
                <w:rFonts w:ascii="Times New Roman" w:eastAsia="Times New Roman" w:hAnsi="Times New Roman" w:cs="Times New Roman"/>
                <w:szCs w:val="24"/>
              </w:rPr>
              <w:t>и</w:t>
            </w:r>
            <w:r>
              <w:rPr>
                <w:rFonts w:ascii="Times New Roman" w:eastAsia="Times New Roman" w:hAnsi="Times New Roman" w:cs="Times New Roman"/>
                <w:szCs w:val="24"/>
              </w:rPr>
              <w:t>р</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е</w:t>
            </w:r>
            <w:r>
              <w:rPr>
                <w:rFonts w:ascii="Times New Roman" w:eastAsia="Times New Roman" w:hAnsi="Times New Roman" w:cs="Times New Roman"/>
                <w:szCs w:val="24"/>
              </w:rPr>
              <w:t xml:space="preserve"> </w:t>
            </w:r>
            <w:r>
              <w:rPr>
                <w:rFonts w:ascii="Times New Roman" w:eastAsia="Times New Roman" w:hAnsi="Times New Roman" w:cs="Times New Roman"/>
                <w:szCs w:val="24"/>
              </w:rPr>
              <w:t>н</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8</w:t>
            </w:r>
            <w:r>
              <w:rPr>
                <w:rFonts w:ascii="Times New Roman" w:eastAsia="Times New Roman" w:hAnsi="Times New Roman" w:cs="Times New Roman"/>
                <w:szCs w:val="24"/>
              </w:rPr>
              <w:t xml:space="preserve"> </w:t>
            </w:r>
            <w:r>
              <w:rPr>
                <w:rFonts w:ascii="Times New Roman" w:eastAsia="Times New Roman" w:hAnsi="Times New Roman" w:cs="Times New Roman"/>
                <w:szCs w:val="24"/>
              </w:rPr>
              <w:t>м</w:t>
            </w:r>
            <w:r>
              <w:rPr>
                <w:rFonts w:ascii="Times New Roman" w:eastAsia="Times New Roman" w:hAnsi="Times New Roman" w:cs="Times New Roman"/>
                <w:szCs w:val="24"/>
              </w:rPr>
              <w:t>л</w:t>
            </w:r>
            <w:r>
              <w:rPr>
                <w:rFonts w:ascii="Times New Roman" w:eastAsia="Times New Roman" w:hAnsi="Times New Roman" w:cs="Times New Roman"/>
                <w:szCs w:val="24"/>
              </w:rPr>
              <w:t>н</w:t>
            </w:r>
            <w:r>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rPr>
              <w:t>е</w:t>
            </w:r>
            <w:r>
              <w:rPr>
                <w:rFonts w:ascii="Times New Roman" w:eastAsia="Times New Roman" w:hAnsi="Times New Roman" w:cs="Times New Roman"/>
                <w:szCs w:val="24"/>
              </w:rPr>
              <w:t>в</w:t>
            </w:r>
            <w:r>
              <w:rPr>
                <w:rFonts w:ascii="Times New Roman" w:eastAsia="Times New Roman" w:hAnsi="Times New Roman" w:cs="Times New Roman"/>
                <w:szCs w:val="24"/>
              </w:rPr>
              <w:t>р</w:t>
            </w:r>
            <w:r>
              <w:rPr>
                <w:rFonts w:ascii="Times New Roman" w:eastAsia="Times New Roman" w:hAnsi="Times New Roman" w:cs="Times New Roman"/>
                <w:szCs w:val="24"/>
              </w:rPr>
              <w:t>о</w:t>
            </w:r>
            <w:r>
              <w:rPr>
                <w:rFonts w:ascii="Times New Roman" w:eastAsia="Times New Roman" w:hAnsi="Times New Roman" w:cs="Times New Roman"/>
                <w:szCs w:val="24"/>
              </w:rPr>
              <w:t xml:space="preserve"> </w:t>
            </w:r>
            <w:r>
              <w:rPr>
                <w:rFonts w:ascii="Times New Roman" w:eastAsia="Times New Roman" w:hAnsi="Times New Roman" w:cs="Times New Roman"/>
                <w:szCs w:val="24"/>
              </w:rPr>
              <w:t>п</w:t>
            </w:r>
            <w:r>
              <w:rPr>
                <w:rFonts w:ascii="Times New Roman" w:eastAsia="Times New Roman" w:hAnsi="Times New Roman" w:cs="Times New Roman"/>
                <w:szCs w:val="24"/>
              </w:rPr>
              <w:t>у</w:t>
            </w:r>
            <w:r>
              <w:rPr>
                <w:rFonts w:ascii="Times New Roman" w:eastAsia="Times New Roman" w:hAnsi="Times New Roman" w:cs="Times New Roman"/>
                <w:szCs w:val="24"/>
              </w:rPr>
              <w:t>б</w:t>
            </w:r>
            <w:r>
              <w:rPr>
                <w:rFonts w:ascii="Times New Roman" w:eastAsia="Times New Roman" w:hAnsi="Times New Roman" w:cs="Times New Roman"/>
                <w:szCs w:val="24"/>
              </w:rPr>
              <w:t>л</w:t>
            </w:r>
            <w:r>
              <w:rPr>
                <w:rFonts w:ascii="Times New Roman" w:eastAsia="Times New Roman" w:hAnsi="Times New Roman" w:cs="Times New Roman"/>
                <w:szCs w:val="24"/>
              </w:rPr>
              <w:t>и</w:t>
            </w:r>
            <w:r>
              <w:rPr>
                <w:rFonts w:ascii="Times New Roman" w:eastAsia="Times New Roman" w:hAnsi="Times New Roman" w:cs="Times New Roman"/>
                <w:szCs w:val="24"/>
              </w:rPr>
              <w:t>ч</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с</w:t>
            </w:r>
            <w:r>
              <w:rPr>
                <w:rFonts w:ascii="Times New Roman" w:eastAsia="Times New Roman" w:hAnsi="Times New Roman" w:cs="Times New Roman"/>
                <w:szCs w:val="24"/>
              </w:rPr>
              <w:t>р</w:t>
            </w:r>
            <w:r>
              <w:rPr>
                <w:rFonts w:ascii="Times New Roman" w:eastAsia="Times New Roman" w:hAnsi="Times New Roman" w:cs="Times New Roman"/>
                <w:szCs w:val="24"/>
              </w:rPr>
              <w:t>е</w:t>
            </w:r>
            <w:r>
              <w:rPr>
                <w:rFonts w:ascii="Times New Roman" w:eastAsia="Times New Roman" w:hAnsi="Times New Roman" w:cs="Times New Roman"/>
                <w:szCs w:val="24"/>
              </w:rPr>
              <w:t>д</w:t>
            </w:r>
            <w:r>
              <w:rPr>
                <w:rFonts w:ascii="Times New Roman" w:eastAsia="Times New Roman" w:hAnsi="Times New Roman" w:cs="Times New Roman"/>
                <w:szCs w:val="24"/>
              </w:rPr>
              <w:t>с</w:t>
            </w:r>
            <w:r>
              <w:rPr>
                <w:rFonts w:ascii="Times New Roman" w:eastAsia="Times New Roman" w:hAnsi="Times New Roman" w:cs="Times New Roman"/>
                <w:szCs w:val="24"/>
              </w:rPr>
              <w:t>т</w:t>
            </w:r>
            <w:r>
              <w:rPr>
                <w:rFonts w:ascii="Times New Roman" w:eastAsia="Times New Roman" w:hAnsi="Times New Roman" w:cs="Times New Roman"/>
                <w:szCs w:val="24"/>
              </w:rPr>
              <w:t>в</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з</w:t>
            </w:r>
            <w:r>
              <w:rPr>
                <w:rFonts w:ascii="Times New Roman" w:eastAsia="Times New Roman" w:hAnsi="Times New Roman" w:cs="Times New Roman"/>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szCs w:val="24"/>
              </w:rPr>
              <w:t>к</w:t>
            </w:r>
            <w:r>
              <w:rPr>
                <w:rFonts w:ascii="Times New Roman" w:eastAsia="Times New Roman" w:hAnsi="Times New Roman" w:cs="Times New Roman"/>
                <w:szCs w:val="24"/>
              </w:rPr>
              <w:t>а</w:t>
            </w:r>
            <w:r>
              <w:rPr>
                <w:rFonts w:ascii="Times New Roman" w:eastAsia="Times New Roman" w:hAnsi="Times New Roman" w:cs="Times New Roman"/>
                <w:szCs w:val="24"/>
              </w:rPr>
              <w:t>м</w:t>
            </w:r>
            <w:r>
              <w:rPr>
                <w:rFonts w:ascii="Times New Roman" w:eastAsia="Times New Roman" w:hAnsi="Times New Roman" w:cs="Times New Roman"/>
                <w:szCs w:val="24"/>
              </w:rPr>
              <w:t>п</w:t>
            </w:r>
            <w:r>
              <w:rPr>
                <w:rFonts w:ascii="Times New Roman" w:eastAsia="Times New Roman" w:hAnsi="Times New Roman" w:cs="Times New Roman"/>
                <w:szCs w:val="24"/>
              </w:rPr>
              <w:t>а</w:t>
            </w:r>
            <w:r>
              <w:rPr>
                <w:rFonts w:ascii="Times New Roman" w:eastAsia="Times New Roman" w:hAnsi="Times New Roman" w:cs="Times New Roman"/>
                <w:szCs w:val="24"/>
              </w:rPr>
              <w:t>н</w:t>
            </w:r>
            <w:r>
              <w:rPr>
                <w:rFonts w:ascii="Times New Roman" w:eastAsia="Times New Roman" w:hAnsi="Times New Roman" w:cs="Times New Roman"/>
                <w:szCs w:val="24"/>
              </w:rPr>
              <w:t>и</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 xml:space="preserve"> </w:t>
            </w:r>
            <w:r>
              <w:rPr>
                <w:rFonts w:ascii="Times New Roman" w:eastAsia="Times New Roman" w:hAnsi="Times New Roman" w:cs="Times New Roman"/>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szCs w:val="24"/>
              </w:rPr>
              <w:t>2</w:t>
            </w:r>
            <w:r>
              <w:rPr>
                <w:rFonts w:ascii="Times New Roman" w:eastAsia="Times New Roman" w:hAnsi="Times New Roman" w:cs="Times New Roman"/>
                <w:szCs w:val="24"/>
              </w:rPr>
              <w:t>0</w:t>
            </w:r>
            <w:r>
              <w:rPr>
                <w:rFonts w:ascii="Times New Roman" w:eastAsia="Times New Roman" w:hAnsi="Times New Roman" w:cs="Times New Roman"/>
                <w:szCs w:val="24"/>
              </w:rPr>
              <w:t>2</w:t>
            </w:r>
            <w:r>
              <w:rPr>
                <w:rFonts w:ascii="Times New Roman" w:eastAsia="Times New Roman" w:hAnsi="Times New Roman" w:cs="Times New Roman"/>
                <w:szCs w:val="24"/>
              </w:rPr>
              <w:t>1</w:t>
            </w:r>
            <w:r>
              <w:rPr>
                <w:rFonts w:ascii="Times New Roman" w:eastAsia="Times New Roman" w:hAnsi="Times New Roman" w:cs="Times New Roman"/>
                <w:szCs w:val="24"/>
              </w:rPr>
              <w:t>)</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наличните средства, които е възможно да бъдат прехвърлени към момента между мерки и подмерки са в размер на 59 792 967 евро от ЕЗФРСР, или 71 237 852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УО на ПРСР планира да прехвърли средства от освободените по-горе такива,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7.2. „Инвестиции в създаването, подобряването или разширяването на всички видове малка по мащаби инфраструктура“ – прехвърляне към индикативният бюджет на подмярката на средства в размер на 8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проведения в периода 08.03 - 09.07.2018 г. прием на проектни предложения за инвестиции, свързани със строителство, реконструкция и/или рехабилитация на нови и съществуващи улици и тротоари и съоръженията и принадлежностите, към тях постъпиха 153 бр. проектни предложения. Общата сума на заявената безвъзмездна финансова помощ на подадените проектни предложения е в размер на 89 млн. евро. Бюджетът на приема беше определен в размер на 50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взетото решение на Тринадесетото заседание на Комитета по наблюдение, със Заповед № РД 09-249 от 06.03.2020 г.  на заместник-министъра на земеделието, храните и горите, за изменение на Заповед № РД 09-206 от 06.03.2018 г., УО на ПРСР увеличи общият размер на безвъзмездната финансова помощ с цел обработка на проектните предложения, получили до 29 точки включително. След разглеждане на проектните предложения и одобряване на допустимите за финансово подпомагане разходи на одобрените проекти е наличен остатъчен бюджет, достатъчен за одобрение на проектните предложения, получили на предварителна оценка 27 т. и за част от проектите с 25 точки. За одобрение на всички проектни предложения с 21 т. включително, освен наличния остатък, ще са необходими още 8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максимално изпълнение на заложените цели по подмярката, свързани със създаването и обновяването на малки по мащаби публична и техническа инфраструктура, която от своя страна да доведе до създаването на оптимална жизнена среда в селските райони, опазването на околната среда, създаването на достъпност и развитие на икономиката и образованието, УО на ПРСР предлага средства в размер на 3.6 млн. евро да бъдат прехвърлени към бюджета на подмярка 7.2.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7.3. „Широколентова инфраструктура, включително нейното създаване, подобрение и разширяване“ - прехвърляне към индикативният бюджет на подмярката на средства в размер на 42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поет ангажимент в рамките на осмо изменение на ПРСР през м. юли-август 2020 г. при изтеглянето на средствата от подмярка 7.3 „Широколентова инфраструктура, включително нейното създаване, подобрение и разширяване“ за прехвърляне към спешната мярка за намаляване последиците от пандемията (Мярка 21), УО на ПРСР предвижда с това изменение да възстанови средствата в мярката, и в най-кратък срок да обяви прием на заявления по нея. До края на 2020 г. се очаква всички задължителни нормативни процедури за стартиране на Подмярка 7.3 да бъдат изпълнени, мярката да бъде капитализирана с част от остатъчните средства, с което да се подсигури стартирането на прием по Подмярка 7.3 и изпълнението на съответните цели на Програмата до края на 2020 календарна година, или в самото начало на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7.6. „Проучвания и инвестиции, свързани с поддържане, възстановяване и на културното и природното наследство на селата“ - прехвърляне към индикативният бюджет на подмярката на средства в размер на 20.8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проведения в периода 22.06 – 23.09.2020 г. прием на проектни предложения по подмярката постъпиха 133 бр. проектни предложения с общ размер на заявената безвъзмездна финансова помощ 38.9 млн. евро. Бюджетът на приема беше определен в размер на 14.5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максимално изпълнение на заложените цели, свързани със запазване на духовния и културен живот на населението в селските райони и запазване на богатото културно наследство, което се съхранява в различни обекти с религиозно значение, УО на ПРСР предлага средства в размер на 20.8 млн. евро да бъдат прехвърлени към бюджета на подмярка 7.6. По този начин ще се осигури възможност за одобрение на всички проектни предложения, получили минималния брой точки по критериите за оценка и отговарящи на изискванията за допустимост.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8.3. „Предотвратяване на щети по горите от горски пожари, природни бедствия и катастрофични събития“ - прехвърляне към индикативния бюджет на подмярката на средства в размер на 3.4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проведения в периода 12.07 - 15.10.2018 г. прием на проектни предложения по подмярката постъпиха 37 бр. проектни предложения с общ размер на заявената безвъзмездна финансова помощ 26.2 млн. евро. Бюджетът на приема беше определен в размер на 17.1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максимално изпълнение на заложените цели, свързани с увеличаване на площите с превантивни дейности срещу горски пожари, природни бедствия, катастрофични събития, болести и вредители, УО на ПРСР предлага средства в размер на 3.4 млн. евро да бъдат прехвърлени към бюджета на подмярка 8.3. По този начин ще се осигури възможност за одобрение на по-голям брой проектни предложения, получили минимум 31 точки по критериите за оценка и отговарящи на изискванията за допустимост.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8.6. „Инвестиции в технологии за лесовъдство и в преработката, мобилизирането и търговията на горски продукти“ - прехвърляне към индикативният бюджет на подмярката на средства в размер на 500 хиляди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максимално изпълнение на заложените цели, свързани с  устойчивото управление на горите чрез извършването на сечи,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УО на ПРСР предлага средства в размер на 500 евро да бъдат прехвърлени към бюджета на подмярка 8.6. По този начин ще се осигури възможност за одобрение на по-голям брой проектни предложения, за които е наличен частичен разполагаем бюджет, и отговарящи на изискванията за допустимост.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прехвърлените средства между мерки и подмерки се предвижда да бъдат в размер на 59 767 000  евро от ЕЗФРСР, или 70 314 118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Предложение за промяна на текста на Мярка 10 „Агроекология и климат“ от ПРСР 2014</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предлага да се променят текстове, свързани с изпълнението на ангажиментите на кандидати по мярка 10 „Агроекология и климат“ както следва: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28, параграф 5 от Регламент 1305/2013 се урежда продължителността на ангажиментите за част от дейностите в преходния период, като се предвижда тяхното ежегодно удължаване след изтичане на първоначалния период на ангажимента. В тази връзка предлагаме в „Описание на вида операция“ за всяко направление да се уточни продължителността на ангажиментите в преходния период.</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дейности от направление „Контрол на почвената ерозия“ се уточняват и допълват изисквания, които целят подобряване на управлението на площите и прилагането на дейността.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извършен преглед и анализ на необходимостта от актуализация на нивата на подпомагане по мярка 10 „Агроекология и климат“ са извършени преизчисления, като се предлагат промени в размера на подпомагане от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е предложението за допълване на текстовете в т. 8.2.9.5. „Специфична информация за мярката“ по отношение на използваната методологията за компенсаторни изчисления. С предложените изменения се допълват текстовете с информация за извършените преизчисления на нивата на компенсаторно подпомагане, както и референтния период, използван за новите изчисления за пропуснатите ползи и допълнителните разходи спрямо периода 2011-2013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предлага да се променят текстове, свързани с изпълнението на ангажиментите на кандидати по мярка 10 „Агроекология и климат“ както следва: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Във връзка с текста в т. 8.2.9.3.1.6 „Условия за допустимост“ по </w:t>
            </w:r>
            <w:r>
              <w:rPr>
                <w:rFonts w:ascii="Times New Roman" w:eastAsia="Times New Roman" w:hAnsi="Times New Roman" w:cs="Times New Roman"/>
                <w:b/>
                <w:bCs/>
                <w:szCs w:val="24"/>
              </w:rPr>
              <w:t>направление „Възстановяване и поддържане на земите с висока природна стойност (ВПС 1)“</w:t>
            </w:r>
            <w:r>
              <w:rPr>
                <w:rFonts w:ascii="Times New Roman" w:eastAsia="Times New Roman" w:hAnsi="Times New Roman" w:cs="Times New Roman"/>
                <w:szCs w:val="24"/>
              </w:rPr>
              <w:t>, „</w:t>
            </w:r>
            <w:r>
              <w:rPr>
                <w:rFonts w:ascii="Times New Roman" w:eastAsia="Times New Roman" w:hAnsi="Times New Roman" w:cs="Times New Roman"/>
                <w:i/>
                <w:iCs/>
                <w:szCs w:val="24"/>
              </w:rPr>
              <w:t>От обхвата на мярката се изключват постоянно затревени площи в зоните от Натура 2000 с влезли в сила заповеди за тяхното обявяване, Националните паркове и резервати.</w:t>
            </w:r>
            <w:r>
              <w:rPr>
                <w:rFonts w:ascii="Times New Roman" w:eastAsia="Times New Roman" w:hAnsi="Times New Roman" w:cs="Times New Roman"/>
                <w:szCs w:val="24"/>
              </w:rPr>
              <w:t>“ и предвид предстоящо обнародване на значителна част от заповедите, издавани от Министъра околната среда и водите за обявяване на защитени зони, се предлага включване на нов текст, с който се дава възможност бенефициентите по направлението да приспособят ангажиментите си, след отпадане на площи, обхванати от посочените заповеди. В случай, че площи от ангажимента на земеделския стопанин бъдат изключени от обхвата, поради влезли в сила заповеди за обявяване на зони по Натура 2000,  ангажиментът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предложените текстове се предоставя право на бенефициентите да продължат изпълнението на ангажиментите само с площи от ангажимента, които не са изключени от обхвата  на мярката, или ако не са съгласни, да им бъдат прекратени ангажиментите без да се изисква възстановяване на получените финансови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настоящия момент Министерство на околната среда и водите, в съответствие с процедурата за обнародване на заповеди за зони от мрежата Натура, представя за обществено обсъждане зони по Директивата за опазване на природните местообитания и на дивата флора и фауна. Част от новите зони вече са обнародвани, друга част са в процес на публично обсъждане, останалата част се очаква да влязат в сила до март месец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Едно от задълженията на бенефициентите по направлението е да изпълняват дейностите на поне 90 % от одобрената площ. Идентично е изискването и при удължаване с една или две години на ангажиментите. Съгласно условията за допустимост по мярката, след обнародване на новите заповеди, земеделските стопани няма да могат да продължат да заявяват тези площи по направлението. В резултат на това, Разплащателната агенция може да прекрати ангажиментите. В някои случаи е възможно една част от площта на ангажимента да бъде изключена от обхвата на мярката, а друга част да попада в допустимите за подпомагане площи, като земеделският стопанин може да продължи изпълнение на дейности по направлението с отговарящите на условията за допустимост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правата, които предоставя  чл. 48 от Регламент 1305 от 2013 г, с предложените промени се дава възможност на земеделските стопани да приспособят ангажиментите или, в случай че не приемат извършените корекции, ангажиментът им да отпадне, като няма да се изисква възстановяване на средства по отношение на периода, през който ангажиментът се е изпълнявал.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В т. 8.2.9.3.4.5 „Допустими разходи“ на дейностите от </w:t>
            </w:r>
            <w:r>
              <w:rPr>
                <w:rFonts w:ascii="Times New Roman" w:eastAsia="Times New Roman" w:hAnsi="Times New Roman" w:cs="Times New Roman"/>
                <w:b/>
                <w:bCs/>
                <w:szCs w:val="24"/>
              </w:rPr>
              <w:t>направление „Традиционни практики за сезонна паша (пасторализъм)</w:t>
            </w:r>
            <w:r>
              <w:rPr>
                <w:rFonts w:ascii="Times New Roman" w:eastAsia="Times New Roman" w:hAnsi="Times New Roman" w:cs="Times New Roman"/>
                <w:szCs w:val="24"/>
              </w:rPr>
              <w:t xml:space="preserve"> се разписва задължение животните да бъдат придружавани от пастир (гледач), ако не се придружават от земеделския стопанин. Въвежда се и изискване на кучетата, придружаващи стадото да им се поставят спъвачка.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 8.2.9.3.4.10. „Специфична информация за операцията“ към специфичните базови изисквания за прилаганите дейности се добавят: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„намеса в биологичното разнообразие“ (чл. 21 от Закона за защитените територии (ЗЗТ) – т. 9 и т. 14), както и забрани, определени в чл. 17 от ЗЗТ по отношение на териториите на резерватите.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Предложение за промяна на текста на Мярка 11 „Биологично земеделие“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предлага промяна в следните текстове от мярка 11 „Биологично земеделие“: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разпоредбите на чл. 29, параграф 3 от Регламент 1305/2013 – „по отношение на нови, свързани с поддържането ангажименти, следващи непосредствено ангажимента, изпълнен в първоначалния период, държавите членки могат да определят по-кратък период в програмите си за развитие на селските райони“. В тази връзка предлагаме в т. 8.2.10.3.1.1. и т. 8.2.10.3.2.1 от ПРСР „Описание на вида операция“ да се добави текст, с който позволяваме през 2021 г. за кандидати изпълняващи ангажименти по ПРСР 2014-2020 да поемат ангажименти с продължителност до 2 г. или продължаващите ангажиментите да бъдат ежегодно удължавани до края на 2022. Ангажиментите за нови кандидати по мярката могат да са с продължителност от 1 до 3 г. в съответствие с приетото законодателство за периода 2021-2022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 8.2.10.3.1.2. „Вид подкрепа“ и т. 8.2.10.3.1.5. „Допустими разходи“ въвеждаме нов текст и по двете под мерки, с който целим да подпомогнем животновъдният сектор, като предлагаме да се промени съотношението за подпомагане по направление „Биологично растениевъдство“ от 1 животинска единица на 1 хектар на 0,3 ЖЕ на 1 ха. По този начин даваме възможност на бенефициентите по направление „Биологично животновъдство“ да се заявяват по-голям размер постоянно затревени площи и фуражни култури.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 мярка 11.1 „Плащания за преминаване към практики и методи за биологично земеделие“ се предлагат изменения в следните точки: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шестото изменение на ПРСР 2014-2020 бяха въведени дегресивни ставки за две от подпомаганите групи култури в под мярка 11. 2. “Плащания за поддържане на практики и методи за биологично земеделие“ (полски култури включително и фуражи и ароматни и медицински култури). С настоящото предложение за промяна въвеждаме дегресивни ставки за същите групи култури и в под мярка 11.1 „Плащания за преминаване към практики и методи за биологично земеделие“ с цел равнопоставеност между двете направления.</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предстоящото обнародване на част заповеди за защитени зони по Директивата за опазване на природните местообитания и дивата флора и фауна и наличие на нови забрани, които земеделските стопани трябва да спазват в защитените зони попадащи в обхвата на Натура 2000, предлагаме и изменение в т.8.2.10.6. „Друга важна информация, необходима за по-доброто разбиране и прилагане на мярката“, с която се прецизира текстът свързан с възможните комбинации между мярка 11 „Биологично земеделие“ и мярка 12 „Плащания за Натура 2000 и Рамковата директива за водите“.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предлага също така промяна в текстове от мярка 11 „Биологично земеделие“ както следва: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5.1. В под мярка 11.1 „Плащания за преминаване към практики и методи за биологично земеделие“, с цел по голяма яснота, в т. 8.2.10.3.1.6. „Условия за допустимост“ се добавя нов текст, с който се въвежда  условие, че не може да се получава подпомагане по подмярката (за  преход) за площи на земеделски стопанин, които са включени в слой „Биологични площи“ през 2021 и 2022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5.2. В под мярка 11.2. „Плащания за биологично земеделие“ се предлагат промени в следните точки: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 8.2.10.3.2.2. „Вид подкрепа“ предвид въведеното през 2020 г. условие към бенефициенти с ангажимент за постоянно затревени площи за спазване на гъстота от минимум 1 ЖЕ на 2 ха и възможността за прием през 2021 и 2022 г., се уточнява, че изискването ще се прилага и за следващи години.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 8.2.10.3.2.5 „Допустими разходи“ се предлага: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Идентична промяна по отношение на същото изискване за годините след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След приключване на ангажиментите през 2020 г. да се предостави възможност за удължаване на ангажиментите по мярка 11 от ПРСР 2014-2020 г. с площи, които могат да варират с процент по-голям 10 % (съгласно текущите текстове), като ангажимента продължава да се изпълнява с площи, за които земеделските стопани имат правно основание за ползване през съответната година. Идентична промяна следва да се отрази по отношение на същото условие, когато е свързано с удължаване на ангажимента след 2020 г. и в т. 8.2.10.5 „Специфична информация за мярката“.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 8.2.10.3.2.8 „(Приложими) суми и проценти на предоставяната подкрепа“ се уточнява, че предложените прагове на подпомагане ще бъдат приложими при кандидатстване и след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5.3. В т. 8.2.10.6 „Друга важна информация, необходима за по-доброто разбиране и прилагане на мярката“ и с оглед използването на публичния регистър по чл. 45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(Наредба № 5 от 2018 г.), съдържащ информация за операторите в система на контрол за биологично производство, се уточнява, че: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За прилагането на мярка 11 ДФЗ-РА може да извършва проверки и въз основа на този регистър;</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Урежда се, че въз основа на данните в биорегистъра Компетентното звено по чл. 2 от Наредба № 5 от 2018 г. предоставя на ДФЗ-РА информация за включените в система на контрол площи, животни и пчелни семейства към края на предходната година.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Добавя се текст, с който се указва, че Компетентното звено по смисъла на чл. 2 от Наредба № 5 от 2018 г. предоставя на ДФЗ-РА слой „Биологични площи“, който включва цифрови географски данни за сертифицирани площи, преминали периода на преход към края на предходната година.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Предложение за промяна на текста на Мярка 12 „Плащания по „Натура 2000“ и Рамковата директива за водите“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е обнародвана една заповед за обявяване на защитени зони по Директивата за опазване на дивите птици и 36 заповеди по Директивата за опазване на природните местообитания и дивата флора и фауна, като до края на годината се очаква да бъдат приети още 55 заповеди.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Управляващият орган предлага промяна в следните текстове от мярка 12 „Плащания по „Натура 2000“ и Рамковата директива за водите“: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точка 8.2.11.2 „Общо описание на мярката, включително нейната интервенционна логика и нейният принос за областите с поставен акцент и междусекторните цели“ се правят изменения, съгласно които зоните за птиците от 119 стават 120. Добавя се текст, с който се уточнява, че към момента от страна на МОСВ са публикувани нови 91 от общо 234 заповеди за местообитанията. Същата информация е отразена и в точка 8.2.11.3.1.1. „Описание вид на операцията“ от подмярка 12.1  „Компенсаторни плащания за земеделски площи в Натура 2000 за земеделски земи“.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текстовете на подмярка 12.1. Компенсаторни плащания за земеделски площи в Натура 2000 за земеделски земи и в общата информация по мярката се правят промени, които реферират към приложенията на ПРСР 2014-2020. Предложените изменения са по отношение на включване на Списък на публикуваните зони за местообитанията и Приложение № 13А таблица с компенсаторни плащания по зоните за местообитания и видове ограничения. Също така в т. 8.2.11.3.1.10. „Специфична информация за операцията“ и т. 8.2.11.5. „Специфична информация за мярката“ се добавят и текстове по отношение на 4 нови забрани съгласно Директивата за опазване на дивите птици и Директивата за опазване на природните местообитания и дивата флора и фауна, които са взети предвид при изчисляването на компенсаторните плащания за зоните. В посочените точки на ПРСР е отразена промяната по отношение на забраните, които се компенсират в описаната методология на изчисленията, както и промени относно районите, използвани за диференциране на нивата на компенсаторни плащания, като са включени и районите със специфични ограничения.</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Горепосочените изменения са продиктувани от влезлите в сила и предстоящото обнародване на нови заповеди на министъра на околната среда и водите за защитени зони за птиците и местообитанията.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извършеното предефиниране на районите с природни ограничения, различни от планинските съгласно чл. 32 от Регламент 1305/2013 и определен обхват на райони с други специфични ограничения и предвид това, че нивата на компенсаторните плащания по всички забрани се диференцират според територията, която обхваща конкретната зона, групирани за съответния район, е извършено преизчисления на нивата на подпомагане за 119 зони за птиците и е определено компенсаторно плащане за ново обявената зона.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прави уточнение, че в Нотификацията ще бъдат включени само тези защитени зони за местообитанията, за които има издадени и обнародвани в „Държавен вестник“ заповеди за обявяването им, в срок не по-късно от 1 януари на годината на кандидатстване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7. Предложение за промяна на текста на мярка 14 „Хуманно отношение към животните“ от Програмата за развитие на селските райони за периода 2014 – 2020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предлага да се допълни текста по мярка 14 „Хуманно отношение към животните“, поради следните мотиви: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Извършен е анализ на производствените и пазарни промени за периода 2017-2019 спрямо периода 2011-2013 г., който е използван за изчисляване на компенсаторното плащане в действащия програмен период. В резултат на извършения анализ е направено преизчисляване на компенсаторните плащания по мярка 14 като са отчетени пропуснатите ползи и допълнителните разходи за изпълнение на заложените дейности и изисквания. Референтният период на преизчислението е 2017-2019 г., като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гореизложеното, са предложените промени на текстовете на подмярка 14.1 „Плащания за хуманно отношение към животни в сектор ЕПЖ“ и подмярка 14.2 „Плащания за хуманно отношение към животни в сектор ДПЖ“ в т. 8.2.13.3.1.8.  и т. 8.2.13.3.2.8. „(Приложими) суми и проценти на предоставяната подкрепа“, при които се посочват нови нива на компенсаторното подпомагане в евро/ЖЕ след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е предложението за допълване на текстовете в т. 8.2.13.3.1.10. и т. 8.2.13.3.2.10. „Специфична информация за операцията“ както и текста на т. 8.2.13.5. „Специфична информация за мярката“ по отношение на използваната методологията за компенсаторни изчислени. С предложените изменения се допълват текстовете с информация за извършените преизчисления на нивата на компенсаторно подпомагане, както и референтния период, използван за новите изчисления за пропуснатите ползи и допълнителните разходи спрямо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Предложение за изменение на подмярка 2.2 „Създаване на консултантски услуги“ от мярка 2 „Консултантски услуги, услуги по управление на стопанство и услуги по заместване в стопанство“ от ПРСР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настоящия текст на подмярка 2.2 „Създаване на консултантски услуги“</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от мярка  2 „Консултантски услуги, услуги по управление на стопанство и услуги по заместване в стопанство“,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оперативните разходи на НССЗ ще се възстановяват от ДФ „Земеделие“ на база на реално извършени разходи, отчетени с разходооправдателни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подмярката е предвидено създаването в България на консултантски капацитет на общинско ниво чрез разширяването на териториалния обхват на Национална служба за съвети в земеделието (НССЗ) чрез създаване на до 50 мобилни общински центрове (офиси)  за консултантски услуги, които да подпомагат дейността на действащите към момента 28 областни офиса на Службата. Функционирането на мобилните общински центрове е неизменно свързано със съпътстващи оперативни разходи, като разходи за гориво, винетни такси, граждански застраховки, технически прегледи за автомобили, командировъчни разходи за служителите, ангажирани в процеса на предоставяне на съвети и консултации, офис консумативи, разходи за ел. енергия и други,  които са свързани със значителен обем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Одобрението и отчитането на оперативните разходи, свързани с функционирането на мобилните центрове на НССЗ изисква ангажиране на значителен административен капацитет: на етап кандидатстване от страна от кандидата във връзка с подготовка на проектното предложение и набавяне на всички изискуеми документи; от страна на УО на етап разглеждане и одобрение на проектното предложение във връзка с необходимостта от извършване на преценка за обосноваността на заявените за подпомагане разходи (три оферти, референтни цени) и на етап изпълнение и отчитане на проекта от страна на бенефициента и ДФ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Поради тази причина, Управляващият орган  счита за най-удачно да бъде предвидена възможност по подмярката, оперативните разходи за функциониране на мобилните центрове да се прилагат въз основа на  единна ставка в размер на до 15 на сто от допустимите разходи за възнаграждения, каквато възможност е предвидена в чл. 67, § 1, буква „г“ от Регламент (ЕС) 1303/2013 г.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Предложение на Управляващия орган на Програмата за развитие на селските райони 2014 – 2020 г. за промяна на текста на подмярка M 5.1</w:t>
            </w:r>
            <w:r>
              <w:rPr>
                <w:rFonts w:ascii="Times New Roman" w:eastAsia="Times New Roman" w:hAnsi="Times New Roman" w:cs="Times New Roman"/>
                <w:szCs w:val="24"/>
              </w:rPr>
              <w:t xml:space="preserve">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9.1. Промяна в изискването към кандидатите по подмярката - да се подпомагат земеделски стопани, регистрирани преди 1 януари 2018 г. без да е налице изискване за извършване на съответната животновъдна дейност преди тази дата – предложените прецизирани текстове са включени в таблица.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Мотиви: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възможност за кандидатстване на по - голям кръг от земеделски стопани в страната, които се нуждаят от подобрение на системите за биологична сигурност на ниво животновъдно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 разширяването на кръга на допустимите земеделски стопани ще се осигури възможност за повишаване на хигиената и подобряване на биологичната среда на повече животновъдни стопанства, което от своя страна ще допринесе за минимизиране на риска от заразни болести на отглежданите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9.2.Предложение за увеличение на максималната стойност на допустимите разходите за един кандидат и за едно проектно предложение за сектор „свиневъдство“ и сектор „птицевъдство“ – предложените прецизирани текстове са включени в таблица.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Мотиви: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Наличен остатъчен финансов ресурс след проведения през 2020 г. прием на проектни предложения;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Засилен интерес за подобен тип подпомагане от птицевъдни и свиневъдни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 от обезпечаване на инвестициите в превенция и преодоляване на опасността от разпространение на заразни болести в секторите, които са/или биват най-тежко засегнати, поради по-високия риск от проява на силно заразни болести при тях, поради своята структурна специфика, мащаб  и производствена интеграция;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Характерът на инвестициите в животновъдните обекти, епизоотичната обстановка в страната и завишените норми за биосигурност предполагат необходимостта от по-голям финансов ресурс за реализация на проектите;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Предложение за изменение на подмярка 16.1. „Подкрепа за сформиране и функциониране на оперативни групи в рамките на ЕПИ“ от мярка 16 „Сътрудничество“ от ПРСР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предлага да се допълни текст в подмярка 16.1 „Подкрепа за сформиране и функциониране на оперативни групи в рамките на ЕПИ“, касаещ допустимостта на кандидатите, като се добави възможност за разширяване на кръга на допустимите участници в оперативните групи поради следните причини: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Постъпило е предложение от Център за оценка на риска по хранителната верига (ЦОРХВ) относно възможността за разработване на иновативен проект, свързан с национална програма за надзор на векторно предавани инфекции по животни и селскостопански културни растения чрез използване на съвременни молекулярно-биологични методи (ДНК-баркодинг) и поддържане на електронна база данни за тях. В резултат от програмата за надзор ще се осъществи ентомологичен надзор, който ще има за цел да предостави информация за потенциалните векторни видове, плътността на популациите, каламитет и сезонната им динамика, териториално разпространение, биологични и екологични ниши на разпространение и особености. Резултатите ще бъдат споделени със земеделските стопани и биха могли да послужат за своевременна оценка на рисковете и проследяване на влиянието на векторите върху здравето на животните във фермите и селскостопанските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Компетентният орган в България за извършване на научна оценка на риска по хранителната верига е Центърът за оценка на риска по хранителната верига (ЦОРХВ), поради което Управляващият орган предлага да бъде включен като допустим участник в оперативните групи, които могат да бъдат бенефициенти по подмярка 16.1, като се допълни текста в частта 8.2.14.3.1.6. „Условия за допустимост“ на подмярка 16.1</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„Подкрепа за сформиране и функциониране на оперативни групи в рамките на ЕПИ“.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2019 г. ЦОРХВ успешно е изпълнил проект, финансиран от Европейския орган по Безопасност на Храните на тема „Идентифициране на специфични компетентни вектори в аспекта на извършването на мониторинг на някои екзотични трансгранични векторно-преносими заболявания по животните в България, чрез използването на модерни молекулярно-биологични методи“ (GP/EFSA/ENCO/2018/04). В резултат от изпълнението на този проект са генерирани ДНК баркодове на ДНК, изолирана от насекоми от трите целеви векторни таксона в България (Culicidae, Ceratopogonidae и Phlebotominae). Доказана е ефективността, иновативността и високата специфичност на молекулярните методи, което допринася за диагностиката, особено когато трябва да бъдат тествани голям брой проби за целите на надзора на тези вектори. След успешното изпълнение на този проект, екипът на ЦОРХВ планира да надгради и доразвие изпълненият проект в рамките на Програмата за развитие на селските райони за периода 2014-2020 г. по мярка 16 „Сътрудничество“, подмярка 16.1. „Подкрепа за сформиране и функциониране на оперативни групи в рамките на ЕПИ“ в сътрудничество с други заинтересовани страни, които са допустими участници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ЦОРХВ има изграден капацитет за изпълнение на такъв тип проекти – опит, експерти и мрежа от научни организации. Включването на Центъра като допустим участник в оперативните групи ще даде възможност за развитие и задълбочаване на връзката между науката и практиката, какъвто е смисъла на подпомагането – стимулиране на трансфера на знания и иновации в областта на селското и горското стопанство и развитие на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11. </w:t>
            </w:r>
            <w:r>
              <w:rPr>
                <w:rFonts w:ascii="Times New Roman" w:eastAsia="Times New Roman" w:hAnsi="Times New Roman" w:cs="Times New Roman"/>
                <w:b/>
                <w:bCs/>
                <w:szCs w:val="24"/>
              </w:rPr>
              <w:t>Предложение за промяна на Приложение № 4 към Раздел 15.1 “Управленска структура на УО“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месец октомври 2020 г. беше извършена промяна в длъжностното разписание на дирекция „Развитие на селските райони" - Управляващ орган (УО) на Програмата, както и на разписанието на длъжностите в Министерство на земеделието, храните и горите, заемани по реда и условията на Постановление № 209 на Министерския съвет от 2015 г. за назначаване на допълнителен персонал за нуждите и в срока на прилагане на Програма за развитие на селските райони за периода 2014 – 2020 г. със средства от мярка „Техническа помощ“ и на персонал на местните инициативни групи, изпълняващи стратегии за водено от общностите местно развитие, финансирани със средства от мярка 19 „Водено от общностите местно развитие“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промяната в рамките на дирекция „Развитие на селските райони“ се създаде нов отдел „Трансфер на знания, сътрудничество и дигитализация“ с функции в областта на прилагането, администрирането, управлението и програмирането на мерките, свързани с обучения, трансфер на знания, иновации, сътрудничество и дигитализация. Промяната се извърши с цел постигане на максимална координация на процесите, касаещи приключването на програмен период 2014-2020 г. и стартирането на програмен период 2021-2027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промяната в структурата на УО беше извършена с оглед на отговорностите на дирекцията за управлението и изпълнението на програмата по ефикасен, ефективен и коректен начин, също и с оглед на мащаба, разнородността и всеобхватността на прилаганите интервенции, чрез които се предоставя финансово подпомагане по линия на ЕЗФРСР, както и с цел постигането на качествено изпълнение на възложените на дирекцията функции.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УО на ПРСР планира да промени текста в Приложение № 4 към Раздел 15.1 “Управленска структура на УО“ от анексите към ПРСР 2014-2020 г., съобразно последните административни промени в структурата на дирекция „Развитие на селските райони“.</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извършеното изменение се осигурява балансирано и ефективно насочване на финансовият ресурс по ПРСР 2014 – 2020 г. в съответствие със заложените стратегически цели и приоритети на национално и европейско ниво, като основният му акцент е осигуряване на ресурс за договаряне на заявления по вече стартирали приеми и процедури, както и осигуряване на средства за стартиране на нови мерки от Програмата, чрез които да се постигнат стратегически цели и поети ангажименти в рамките на предишни изменения на ПРСР. С част от прехвърлените средства в размер на 42 млн. евро ще бъде обявен прием на проектни предложения по подмярка 7.3. „Широколентова инфраструктура, включително нейното създаване, подобрение и разширяване“.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Предвиждат се и промени в текстовете на площните мерки от Програмата, свързани с агроекология и климат, биологично земеделие, Натура 2000 и хуманно отношение към животните, чрез които се актуализират нивата на подпомагането, и се прецизира насочването на помощта към земеделските стопани, получаващи средства по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въвеждането на промените по Мярка 10, в по-голяма степен ще се допринесе за поддържане разнообразието на екосистемите и защита на дивата природа и опазване и поддържане на биологичното разнообразие в екосистемите на Националните паркове. Предложените текстове включват и ограничения във връзка с резерватите и забраните за дейности в тях, с изключение на определените в закона, съгласно чл. 17 от ЗЗТ, с което се цели запазване на естествения им характер и запазване на естествени местообитания и на популациите на защитени видове.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изменението на Програмата се разширява обхвата на подпомагане по Мярка 12 „Плащания по „Натура 2000“ и Рамковата директива за водите“ във връзка с включване на нови защитени зони по Директивата за опазване на дивите птици и по Директивата за опазване на природните местообитания и дивата флора и фауна.</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Въздействие на прехвърлянето на средствата върху индикаторният план и бюджета на ПРСР2014-2020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Прехвърлените средства с цел изравняване на извършени разходи по фокус области няма да водят до промяна в показателите, освен финансовото им изражение в съответните фокус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прехвърлянето на средства предлаганите промени в плана на показателите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3Б Подмярка 5.1 „Подкрепа за инвестиции в превантивни мерки, насочени към ограничаване на последствията от вероятни природни бедствия“ -  редукция на показателя за публични средства от  31 471 690,0  на 27 489 337,00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3Б Подмярка 5.1 „Подкрепа за инвестиции в превантивни мерки, насочени към ограничаване на последствията от вероятни природни бедствия“ -  редукция на показателя за брой подпомогнати стопанства от  70  на 60 бр. (редукция на база прогнози от реално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6А Подмярка 6.4.1 „Инвестициионна подкрепа за неземеделски дейности“ -  редукция на показателя за публични средства от  79 532 155,3 на 50 526 861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6А Подмярка 6.4.1 „Инвестициионна подкрепа за неземеделски дейности“ -  редукция на показателя за общи инвестиции от  159 064 310,6 на 101 053 722,4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6В (6С in English) Подмярка 7.3. „Широколентова инфраструктура, включително нейното създаване, подобрение и разширяване“ – увеличаване на показателя за публични средства от  0 на 42 000 000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6В (6С in English) Подмярка 7.3. „Широколентова инфраструктура, включително нейното създаване, подобрение и разширяване“ – увеличаване на показателя за население, възползващо се от подобрената ИТ инфраструктура от 0 на 98 373 (въведен е показателят от шесто изменение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6В (6С in English) Подмярка 7.3. „Широколентова инфраструктура, включително нейното създаване, подобрение и разширяване“ – увеличаване на показателя за брой подпомогнати операции от 0 на 19 (въведен е показателят от шесто изменение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Подмярка 7.6. „Проучвания и инвестиции, свързани с поддържане, възстановяване и на културното и природното наследство на селата“ и Подмярка 7.2. „Инвестиции в създаването, подобряването или разширяването на всички видове малка по мащаби инфраструктура“  – увеличение на показателя за публични средства от 525 725 910,6 на 550 125 322,4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Подмярка 7.6. „Проучвания и инвестиции, свързани с поддържане, възстановяване и на културното и природното наследство на селата“ - увеличение на показателя за брой подпомогнати културни обекти от 130 на 200 бр. (увеличен на база прогнози от реално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5Д Подмярка 8.1. “Залесяване и поддръжка” - редукция на показателя за публични средства от 9 217 778,6 на 1 631 112,00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П4(за гори) Подмярка 8.3. “Предотвратяване на щети по горите от горски пожари, природни бедствия и катастрофични събития”           – редукция на показателя за брой подпомогнати стопанства от 36 на 30 подпомогнати стопанства (редукция на база прогнози от реално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П4(за гори) Подмярка 8.3. “Предотвратяване на щети по горите от горски пожари, природни бедствия и катастрофични събития”           – увеличение на показателя за публични средства от 17 059 596,5 на 20 474 302,35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2В Подмярка 8.4. “Възстановяване на щети по горите от горски пожари, природни бедствия и катастрофични събития”- редукция на показателя за публични средства от 8 000 000 на 2 397 058,82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2В(2С in English) Подмярка 8.6. „Инвестиции в технологии за лесовъдство и в преработката, мобилизирането и търговията на горски продукти“– увеличение на показателя за публични средства от 18 000 000 на 18 500 000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Мярка 14 „Хуманно отношение към животните“редукция на показателя за публични средства от 35 881 536,7 на 16 752 124,7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6A - Mярка 21 “Извънредно временно подпомагане за земеделските стопани и МСП, които са особено засегнати от кризата, предизвикана от COVID-19”– увеличение на показателя за публични средства от 9 486 522,4 на 10 545 345,9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2A - Mярка 21 “Извънредно временно подпомагане за земеделските стопани и МСП, които са особено засегнати от кризата, предизвикана от COVID-19”- редукция на показателя за публични средства от 44 875 424,7 на 37 816 601,2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2A - Mярка 21 “Извънредно временно подпомагане за земеделските стопани и МСП, които са особено засегнати от кризата, предизвикана от COVID-19”– увеличение на показателя за брой подпомогнати стопанства от 4 800 на 28 000 подпомогнати стопанства (увеличен на база прогнози от реално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резултат на прехвърлянето на средства между мерки и подмерки, общият публичен принос на ПРСР2014-2020 ще намалее с 892 549 евро публични средства, от 2 896 147 917 до 2 895 255 368 като стойността на приноса на ЕЗФРСР не се променя.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Връзка между предлаганото изменение и Споразумението за партньорство е налична дотолкова, доколкото предлаганите промени в Десето изменение на ПРСР съдържат промяна в бюджетите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Съответните промени косвено влияят главно на автоматично изчисляваният принос на ЕЗФРСР по Тематични цели (таблица 1.4.1 от Споразумението за партньорство).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Въпреки това, изменението не засяга по никакъв начин общия размер на ЕЗФРСР, като в резултат на прехвърлянето на средства между приоритети и мерки, се променя само размера на публичните средства на ПРСР (средства от ЕЗФРСР, заедно с национално финансиране) - общият публичен принос на ПРСР2014-2020 ще намалее с 892 549 евро публични средства, от 2 896 147 917 до 2 895 255 368 като стойността на приноса на ЕЗФРСР не се променя.</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24"/>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874"/>
        <w:gridCol w:w="2285"/>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205"/>
        <w:gridCol w:w="1954"/>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231"/>
        <w:gridCol w:w="2891"/>
        <w:gridCol w:w="905"/>
        <w:gridCol w:w="788"/>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5"/>
              </w:numPr>
              <w:rPr>
                <w:b w:val="0"/>
              </w:rPr>
            </w:pPr>
            <w:r>
              <w:rPr>
                <w:b w:val="0"/>
              </w:rPr>
              <w:t>1А) Стимулиране на иновациите, сътрудничеството и развитието на базата от знания в селските райони</w:t>
            </w:r>
          </w:p>
          <w:p>
            <w:pPr>
              <w:numPr>
                <w:numId w:val="2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5"/>
              </w:numPr>
              <w:rPr>
                <w:b w:val="0"/>
              </w:rPr>
            </w:pPr>
            <w:r>
              <w:rPr>
                <w:b w:val="0"/>
              </w:rPr>
              <w:t>4В) Предотвратяване на ерозията на почвите и подобряване на управлението им</w:t>
            </w:r>
          </w:p>
          <w:p>
            <w:pPr>
              <w:numPr>
                <w:numId w:val="25"/>
              </w:numPr>
              <w:rPr>
                <w:b w:val="0"/>
              </w:rPr>
            </w:pPr>
            <w:r>
              <w:rPr>
                <w:b w:val="0"/>
              </w:rPr>
              <w:t xml:space="preserve">5А) Повишаване на ефективността при потреблението на вода в селското стопанство </w:t>
            </w:r>
          </w:p>
          <w:p>
            <w:pPr>
              <w:numPr>
                <w:numId w:val="2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5"/>
              </w:numPr>
              <w:rPr>
                <w:b w:val="0"/>
              </w:rPr>
            </w:pPr>
            <w:r>
              <w:rPr>
                <w:b w:val="0"/>
              </w:rPr>
              <w:t>5Г) Намаляване на емисиите на парникови газове и амоняк от селското стопанство</w:t>
            </w:r>
          </w:p>
          <w:p>
            <w:pPr>
              <w:numPr>
                <w:numId w:val="2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6"/>
              </w:numPr>
              <w:rPr>
                <w:b w:val="0"/>
              </w:rPr>
            </w:pPr>
            <w:r>
              <w:rPr>
                <w:b w:val="0"/>
              </w:rPr>
              <w:t>Околна среда</w:t>
            </w:r>
          </w:p>
          <w:p>
            <w:pPr>
              <w:numPr>
                <w:numId w:val="2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7"/>
              </w:numPr>
              <w:rPr>
                <w:b w:val="0"/>
              </w:rPr>
            </w:pPr>
            <w:r>
              <w:rPr>
                <w:b w:val="0"/>
              </w:rPr>
              <w:t>1А) Стимулиране на иновациите, сътрудничеството и развитието на базата от знания в селските райони</w:t>
            </w:r>
          </w:p>
          <w:p>
            <w:pPr>
              <w:numPr>
                <w:numId w:val="2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7"/>
              </w:numPr>
              <w:rPr>
                <w:b w:val="0"/>
              </w:rPr>
            </w:pPr>
            <w:r>
              <w:rPr>
                <w:b w:val="0"/>
              </w:rPr>
              <w:t xml:space="preserve">4Б) Подобряване управлението на водите, включително управлението на торовете и пестицидите </w:t>
            </w:r>
          </w:p>
          <w:p>
            <w:pPr>
              <w:numPr>
                <w:numId w:val="27"/>
              </w:numPr>
              <w:rPr>
                <w:b w:val="0"/>
              </w:rPr>
            </w:pPr>
            <w:r>
              <w:rPr>
                <w:b w:val="0"/>
              </w:rPr>
              <w:t>4В) Предотвратяване на ерозията на почвите и подобряване на управлението им</w:t>
            </w:r>
          </w:p>
          <w:p>
            <w:pPr>
              <w:numPr>
                <w:numId w:val="27"/>
              </w:numPr>
              <w:rPr>
                <w:b w:val="0"/>
              </w:rPr>
            </w:pPr>
            <w:r>
              <w:rPr>
                <w:b w:val="0"/>
              </w:rPr>
              <w:t xml:space="preserve">5А) Повишаване на ефективността при потреблението на вода в селското стопанство </w:t>
            </w:r>
          </w:p>
          <w:p>
            <w:pPr>
              <w:numPr>
                <w:numId w:val="2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7"/>
              </w:numPr>
              <w:rPr>
                <w:b w:val="0"/>
              </w:rPr>
            </w:pPr>
            <w:r>
              <w:rPr>
                <w:b w:val="0"/>
              </w:rPr>
              <w:t>5Г) Намаляване на емисиите на парникови газове и амоняк от селското стопанство</w:t>
            </w:r>
          </w:p>
          <w:p>
            <w:pPr>
              <w:numPr>
                <w:numId w:val="2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8"/>
              </w:numPr>
              <w:rPr>
                <w:b w:val="0"/>
              </w:rPr>
            </w:pPr>
            <w:r>
              <w:rPr>
                <w:b w:val="0"/>
              </w:rPr>
              <w:t>Околна среда</w:t>
            </w:r>
          </w:p>
          <w:p>
            <w:pPr>
              <w:numPr>
                <w:numId w:val="2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9"/>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9"/>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9"/>
              </w:numPr>
              <w:rPr>
                <w:b w:val="0"/>
              </w:rPr>
            </w:pPr>
            <w:r>
              <w:rPr>
                <w:b w:val="0"/>
              </w:rPr>
              <w:t xml:space="preserve">4Б) Подобряване управлението на водите, включително управлението на торовете и пестицидите </w:t>
            </w:r>
          </w:p>
          <w:p>
            <w:pPr>
              <w:numPr>
                <w:numId w:val="29"/>
              </w:numPr>
              <w:rPr>
                <w:b w:val="0"/>
              </w:rPr>
            </w:pPr>
            <w:r>
              <w:rPr>
                <w:b w:val="0"/>
              </w:rPr>
              <w:t>4В) Предотвратяване на ерозията на почвите и подобряване на управлението им</w:t>
            </w:r>
          </w:p>
          <w:p>
            <w:pPr>
              <w:numPr>
                <w:numId w:val="29"/>
              </w:numPr>
              <w:rPr>
                <w:b w:val="0"/>
              </w:rPr>
            </w:pPr>
            <w:r>
              <w:rPr>
                <w:b w:val="0"/>
              </w:rPr>
              <w:t xml:space="preserve">5А) Повишаване на ефективността при потреблението на вода в селското стопанство </w:t>
            </w:r>
          </w:p>
          <w:p>
            <w:pPr>
              <w:numPr>
                <w:numId w:val="29"/>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9"/>
              </w:numPr>
              <w:rPr>
                <w:b w:val="0"/>
              </w:rPr>
            </w:pPr>
            <w:r>
              <w:rPr>
                <w:b w:val="0"/>
              </w:rPr>
              <w:t>5Г) Намаляване на емисиите на парникови газове и амоняк от селското стопанство</w:t>
            </w:r>
          </w:p>
          <w:p>
            <w:pPr>
              <w:numPr>
                <w:numId w:val="29"/>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0"/>
              </w:numPr>
              <w:rPr>
                <w:b w:val="0"/>
              </w:rPr>
            </w:pPr>
            <w:r>
              <w:rPr>
                <w:b w:val="0"/>
              </w:rPr>
              <w:t>Околна среда</w:t>
            </w:r>
          </w:p>
          <w:p>
            <w:pPr>
              <w:numPr>
                <w:numId w:val="3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2"/>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2"/>
              </w:numPr>
              <w:rPr>
                <w:b w:val="0"/>
              </w:rPr>
            </w:pPr>
            <w:r>
              <w:rPr>
                <w:b w:val="0"/>
              </w:rPr>
              <w:t xml:space="preserve">4Б) Подобряване управлението на водите, включително управлението на торовете и пестицидите </w:t>
            </w:r>
          </w:p>
          <w:p>
            <w:pPr>
              <w:numPr>
                <w:numId w:val="32"/>
              </w:numPr>
              <w:rPr>
                <w:b w:val="0"/>
              </w:rPr>
            </w:pPr>
            <w:r>
              <w:rPr>
                <w:b w:val="0"/>
              </w:rPr>
              <w:t>4В) Предотвратяване на ерозията на почвите и подобряване на управлението им</w:t>
            </w:r>
          </w:p>
          <w:p>
            <w:pPr>
              <w:numPr>
                <w:numId w:val="32"/>
              </w:numPr>
              <w:rPr>
                <w:b w:val="0"/>
              </w:rPr>
            </w:pPr>
            <w:r>
              <w:rPr>
                <w:b w:val="0"/>
              </w:rPr>
              <w:t xml:space="preserve">5А) Повишаване на ефективността при потреблението на вода в селското стопанство </w:t>
            </w:r>
          </w:p>
          <w:p>
            <w:pPr>
              <w:numPr>
                <w:numId w:val="3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2"/>
              </w:numPr>
              <w:rPr>
                <w:b w:val="0"/>
              </w:rPr>
            </w:pPr>
            <w:r>
              <w:rPr>
                <w:b w:val="0"/>
              </w:rPr>
              <w:t>5Г) Намаляване на емисиите на парникови газове и амоняк от селското стопанство</w:t>
            </w:r>
          </w:p>
          <w:p>
            <w:pPr>
              <w:numPr>
                <w:numId w:val="3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Околна среда</w:t>
            </w:r>
          </w:p>
          <w:p>
            <w:pPr>
              <w:numPr>
                <w:numId w:val="33"/>
              </w:numPr>
              <w:rPr>
                <w:b w:val="0"/>
              </w:rPr>
            </w:pPr>
            <w:r>
              <w:rPr>
                <w:b w:val="0"/>
              </w:rPr>
              <w:t>Смекчаване на последиците от изменението на климата и приспособяване към тях</w:t>
            </w:r>
          </w:p>
          <w:p>
            <w:pPr>
              <w:numPr>
                <w:numId w:val="3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Околна среда</w:t>
            </w:r>
          </w:p>
          <w:p>
            <w:pPr>
              <w:numPr>
                <w:numId w:val="35"/>
              </w:numPr>
              <w:rPr>
                <w:b w:val="0"/>
              </w:rPr>
            </w:pPr>
            <w:r>
              <w:rPr>
                <w:b w:val="0"/>
              </w:rPr>
              <w:t>Смекчаване на последиците от изменението на климата и приспособяване към тях</w:t>
            </w:r>
          </w:p>
          <w:p>
            <w:pPr>
              <w:numPr>
                <w:numId w:val="3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4"/>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9"/>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Околна среда</w:t>
            </w:r>
          </w:p>
          <w:p>
            <w:pPr>
              <w:numPr>
                <w:numId w:val="6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2"/>
              </w:numPr>
              <w:rPr>
                <w:b w:val="0"/>
              </w:rPr>
            </w:pPr>
            <w:r>
              <w:rPr>
                <w:b w:val="0"/>
              </w:rPr>
              <w:t xml:space="preserve">4Б) Подобряване управлението на водите, включително управлението на торовете и пестицидите </w:t>
            </w:r>
          </w:p>
          <w:p>
            <w:pPr>
              <w:numPr>
                <w:numId w:val="62"/>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4"/>
              </w:numPr>
              <w:rPr>
                <w:b w:val="0"/>
              </w:rPr>
            </w:pPr>
            <w:r>
              <w:rPr>
                <w:b w:val="0"/>
              </w:rPr>
              <w:t xml:space="preserve">4Б) Подобряване управлението на водите, включително управлението на торовете и пестицидите </w:t>
            </w:r>
          </w:p>
          <w:p>
            <w:pPr>
              <w:numPr>
                <w:numId w:val="64"/>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Околна среда</w:t>
            </w:r>
          </w:p>
          <w:p>
            <w:pPr>
              <w:numPr>
                <w:numId w:val="6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Околна среда</w:t>
            </w:r>
          </w:p>
          <w:p>
            <w:pPr>
              <w:numPr>
                <w:numId w:val="7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4В) Предотвратяване на ерозията на почвите и подобряване на управлението им</w:t>
            </w:r>
          </w:p>
          <w:p>
            <w:pPr>
              <w:numPr>
                <w:numId w:val="7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p>
            <w:pPr>
              <w:numPr>
                <w:numId w:val="7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 xml:space="preserve">5А) Повишаване на ефективността при потреблението на вода в селското стопанство </w:t>
            </w:r>
          </w:p>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1А) Стимулиране на иновациите, сътрудничеството и развитието на базата от знания в селските райони</w:t>
            </w:r>
          </w:p>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Околна среда</w:t>
            </w:r>
          </w:p>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3"/>
              </w:numPr>
              <w:rPr>
                <w:b w:val="0"/>
              </w:rPr>
            </w:pPr>
            <w:r>
              <w:rPr>
                <w:b w:val="0"/>
              </w:rPr>
              <w:t xml:space="preserve">6Б) Стимулиране на местното развитие в селските райони </w:t>
            </w:r>
          </w:p>
          <w:p>
            <w:pPr>
              <w:numPr>
                <w:numId w:val="83"/>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rPr>
                <w:b w:val="0"/>
              </w:rPr>
            </w:pPr>
            <w:r>
              <w:rPr>
                <w:b w:val="0"/>
              </w:rPr>
              <w:t>М01 — Трансфер на знания и действия за осведомяване (член 14)</w:t>
            </w:r>
          </w:p>
          <w:p>
            <w:pPr>
              <w:numPr>
                <w:numId w:val="8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rPr>
                <w:b w:val="0"/>
              </w:rPr>
            </w:pPr>
            <w:r>
              <w:rPr>
                <w:b w:val="0"/>
              </w:rPr>
              <w:t>М01 — Трансфер на знания и действия за осведомяване (член 14)</w:t>
            </w:r>
          </w:p>
          <w:p>
            <w:pPr>
              <w:numPr>
                <w:numId w:val="8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8"/>
              </w:numPr>
              <w:rPr>
                <w:b w:val="0"/>
              </w:rPr>
            </w:pPr>
            <w:r>
              <w:rPr>
                <w:b w:val="0"/>
              </w:rPr>
              <w:t>M04 — Инвестиции в материални активи (член 17)</w:t>
            </w:r>
          </w:p>
          <w:p>
            <w:pPr>
              <w:numPr>
                <w:numId w:val="88"/>
              </w:numPr>
              <w:rPr>
                <w:b w:val="0"/>
              </w:rPr>
            </w:pPr>
            <w:r>
              <w:rPr>
                <w:b w:val="0"/>
              </w:rPr>
              <w:t>M06 — Развитие на стопанства и предприятия (член 19)</w:t>
            </w:r>
          </w:p>
          <w:p>
            <w:pPr>
              <w:numPr>
                <w:numId w:val="88"/>
              </w:numPr>
              <w:rPr>
                <w:b w:val="0"/>
              </w:rPr>
            </w:pPr>
            <w:r>
              <w:rPr>
                <w:b w:val="0"/>
              </w:rPr>
              <w:t>M16 — Сътрудничество (член 35)</w:t>
            </w:r>
          </w:p>
          <w:p>
            <w:pPr>
              <w:numPr>
                <w:numId w:val="88"/>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387 млн. евро публични разходи (13%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pPr>
            <w:r>
              <w:t>М01 — Трансфер на знания и действия за осведомяване (член 14)</w:t>
            </w:r>
          </w:p>
          <w:p>
            <w:pPr>
              <w:numPr>
                <w:numId w:val="89"/>
              </w:numPr>
            </w:pPr>
            <w:r>
              <w:t>М02 —  Консултантски услуги, услуги по управление на стопанство и услуги по заместване в стопанство (член 15)</w:t>
            </w:r>
          </w:p>
          <w:p>
            <w:pPr>
              <w:numPr>
                <w:numId w:val="89"/>
              </w:numPr>
            </w:pPr>
            <w:r>
              <w:t>M04 — Инвестиции в материални активи (член 17)</w:t>
            </w:r>
          </w:p>
          <w:p>
            <w:pPr>
              <w:numPr>
                <w:numId w:val="89"/>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151 млн. евро публични разходи (5 %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18 500 000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M06 — Развитие на стопанства и предприятия (член 19)</w:t>
            </w:r>
          </w:p>
          <w:p>
            <w:pPr>
              <w:numPr>
                <w:numId w:val="91"/>
              </w:numPr>
              <w:rPr>
                <w:b w:val="0"/>
              </w:rPr>
            </w:pPr>
            <w:r>
              <w:rPr>
                <w:b w:val="0"/>
              </w:rPr>
              <w:t>M09 — Създаване на групи и организации на производителите (член 27)</w:t>
            </w:r>
          </w:p>
          <w:p>
            <w:pPr>
              <w:numPr>
                <w:numId w:val="91"/>
              </w:numPr>
              <w:rPr>
                <w:b w:val="0"/>
              </w:rPr>
            </w:pPr>
            <w:r>
              <w:rPr>
                <w:b w:val="0"/>
              </w:rPr>
              <w:t>M14 — Хуманно отношение към животните (член 33)</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274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330 проекта, като тя има бюджет от 232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17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pPr>
            <w:r>
              <w:t>М01 — Трансфер на знания и действия за осведомяване (член 14)</w:t>
            </w:r>
          </w:p>
          <w:p>
            <w:pPr>
              <w:numPr>
                <w:numId w:val="92"/>
              </w:numPr>
            </w:pPr>
            <w:r>
              <w:t>М02 —  Консултантски услуги, услуги по управление на стопанство и услуги по заместване в стопанство (член 15)</w:t>
            </w:r>
          </w:p>
          <w:p>
            <w:pPr>
              <w:numPr>
                <w:numId w:val="92"/>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28 млн. евро публични разходи или 1% от общия. Към бюджета на ПО се отнасят и 27,6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rPr>
                <w:b w:val="0"/>
              </w:rPr>
            </w:pPr>
            <w:r>
              <w:rPr>
                <w:b w:val="0"/>
              </w:rPr>
              <w:t>М01 — Трансфер на знания и действия за осведомяване (член 14)</w:t>
            </w:r>
          </w:p>
          <w:p>
            <w:pPr>
              <w:numPr>
                <w:numId w:val="93"/>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3"/>
              </w:numPr>
              <w:rPr>
                <w:b w:val="0"/>
              </w:rPr>
            </w:pPr>
            <w:r>
              <w:rPr>
                <w:b w:val="0"/>
              </w:rPr>
              <w:t>M04 — Инвестиции в материални активи (член 17)</w:t>
            </w:r>
          </w:p>
          <w:p>
            <w:pPr>
              <w:numPr>
                <w:numId w:val="93"/>
              </w:numPr>
              <w:rPr>
                <w:b w:val="0"/>
              </w:rPr>
            </w:pPr>
            <w:r>
              <w:rPr>
                <w:b w:val="0"/>
              </w:rPr>
              <w:t>M10 — Агроекология и климат (член 28)</w:t>
            </w:r>
          </w:p>
          <w:p>
            <w:pPr>
              <w:numPr>
                <w:numId w:val="93"/>
              </w:numPr>
              <w:rPr>
                <w:b w:val="0"/>
              </w:rPr>
            </w:pPr>
            <w:r>
              <w:rPr>
                <w:b w:val="0"/>
              </w:rPr>
              <w:t>М11 — Биологично земеделие (член 29)</w:t>
            </w:r>
          </w:p>
          <w:p>
            <w:pPr>
              <w:numPr>
                <w:numId w:val="93"/>
              </w:numPr>
              <w:rPr>
                <w:b w:val="0"/>
              </w:rPr>
            </w:pPr>
            <w:r>
              <w:rPr>
                <w:b w:val="0"/>
              </w:rPr>
              <w:t>M12 — Плащания по „Натура 2000“ и Рамковата директива за водите (член 30)</w:t>
            </w:r>
          </w:p>
          <w:p>
            <w:pPr>
              <w:numPr>
                <w:numId w:val="93"/>
              </w:numPr>
              <w:rPr>
                <w:b w:val="0"/>
              </w:rPr>
            </w:pPr>
            <w:r>
              <w:rPr>
                <w:b w:val="0"/>
              </w:rPr>
              <w:t>М13 — Плащания за райони, изправени пред природни или други специфични ограничения (член 31)</w:t>
            </w:r>
          </w:p>
          <w:p>
            <w:pPr>
              <w:numPr>
                <w:numId w:val="93"/>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rPr>
                <w:b w:val="0"/>
              </w:rPr>
            </w:pPr>
            <w:r>
              <w:rPr>
                <w:b w:val="0"/>
              </w:rPr>
              <w:t>М08 — Инвестиции в развитие на горските райони и подобряване на жизнеспособността на горите (членове 21 — 26)</w:t>
            </w:r>
          </w:p>
          <w:p>
            <w:pPr>
              <w:numPr>
                <w:numId w:val="94"/>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845 млн. евро публични разходи или 29 % от общия бюджет на Програмата. В рамките на приоритета са избрани: 1) мерки – М01, М02 и М16, които имат бюджет 10 млн. евро; 2)  мерки– М10, М11, М12,М13, с бюджет 799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 млн. евро; 4) мерки за екосистемни услуги в горите, с бюджет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M10 — Агроекология и климат (член 28)</w:t>
            </w:r>
          </w:p>
          <w:p>
            <w:pPr>
              <w:numPr>
                <w:numId w:val="95"/>
              </w:numPr>
            </w:pPr>
            <w:r>
              <w:t>М11 — Биологично земеделие (член 29)</w:t>
            </w:r>
          </w:p>
          <w:p>
            <w:pPr>
              <w:numPr>
                <w:numId w:val="95"/>
              </w:numPr>
            </w:pPr>
            <w:r>
              <w:t>M12 — Плащания по „Натура 2000“ и Рамковата директива за водите (член 30)</w:t>
            </w:r>
          </w:p>
          <w:p>
            <w:pPr>
              <w:numPr>
                <w:numId w:val="95"/>
              </w:numPr>
            </w:pPr>
            <w:r>
              <w:t>М13 — Плащания за райони, изправени пред природни или други специфични ограничения (член 31)</w:t>
            </w:r>
          </w:p>
          <w:p>
            <w:pPr>
              <w:numPr>
                <w:numId w:val="95"/>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p>
            <w:pPr>
              <w:numPr>
                <w:numId w:val="96"/>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pPr>
            <w:r>
              <w:t>М01 — Трансфер на знания и действия за осведомяване (член 14)</w:t>
            </w:r>
          </w:p>
          <w:p>
            <w:pPr>
              <w:numPr>
                <w:numId w:val="97"/>
              </w:numPr>
            </w:pPr>
            <w:r>
              <w:t>М02 —  Консултантски услуги, услуги по управление на стопанство и услуги по заместване в стопанство (член 15)</w:t>
            </w:r>
          </w:p>
          <w:p>
            <w:pPr>
              <w:numPr>
                <w:numId w:val="97"/>
              </w:numPr>
            </w:pPr>
            <w:r>
              <w:t>M04 — Инвестиции в материални активи (член 17)</w:t>
            </w:r>
          </w:p>
          <w:p>
            <w:pPr>
              <w:numPr>
                <w:numId w:val="97"/>
              </w:numPr>
            </w:pPr>
            <w:r>
              <w:t>M10 — Агроекология и климат (член 28)</w:t>
            </w:r>
          </w:p>
          <w:p>
            <w:pPr>
              <w:numPr>
                <w:numId w:val="97"/>
              </w:numPr>
            </w:pPr>
            <w:r>
              <w:t>М11 — Биологично земеделие (член 29)</w:t>
            </w:r>
          </w:p>
          <w:p>
            <w:pPr>
              <w:numPr>
                <w:numId w:val="97"/>
              </w:numPr>
            </w:pPr>
            <w:r>
              <w:t>M12 — Плащания по „Натура 2000“ и Рамковата директива за водите (член 30)</w:t>
            </w:r>
          </w:p>
          <w:p>
            <w:pPr>
              <w:numPr>
                <w:numId w:val="97"/>
              </w:numPr>
            </w:pPr>
            <w:r>
              <w:t>М13 — Плащания за райони, изправени пред природни или други специфични ограничения (член 31)</w:t>
            </w:r>
          </w:p>
          <w:p>
            <w:pPr>
              <w:numPr>
                <w:numId w:val="97"/>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pPr>
            <w:r>
              <w:t>М08 — Инвестиции в развитие на горските райони и подобряване на жизнеспособността на горите (членове 21 — 26)</w:t>
            </w:r>
          </w:p>
          <w:p>
            <w:pPr>
              <w:numPr>
                <w:numId w:val="98"/>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М07 — Основни услуги и обновяване на селата в селските райони (член 20)</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97 млн.евро или 3,3 %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pPr>
            <w:r>
              <w:t>М01 — Трансфер на знания и действия за осведомяване (член 14)</w:t>
            </w:r>
          </w:p>
          <w:p>
            <w:pPr>
              <w:numPr>
                <w:numId w:val="102"/>
              </w:numPr>
            </w:pPr>
            <w:r>
              <w:t>М02 —  Консултантски услуги, услуги по управление на стопанство и услуги по заместване в стопанство (член 15)</w:t>
            </w:r>
          </w:p>
          <w:p>
            <w:pPr>
              <w:numPr>
                <w:numId w:val="102"/>
              </w:numPr>
            </w:pPr>
            <w:r>
              <w:t>M04 — Инвестиции в материални активи (член 17)</w:t>
            </w:r>
          </w:p>
          <w:p>
            <w:pPr>
              <w:numPr>
                <w:numId w:val="102"/>
              </w:numPr>
            </w:pPr>
            <w:r>
              <w:t>M10 — Агроекология и климат (член 28)</w:t>
            </w:r>
          </w:p>
          <w:p>
            <w:pPr>
              <w:numPr>
                <w:numId w:val="10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47 млн.евро или 1,6%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4%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90 % от бюджета на ПО 5Г (40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М08 — Инвестиции в развитие на горските райони и подобряване на жизнеспособността на горите (членове 21 — 26)</w:t>
            </w:r>
          </w:p>
          <w:p>
            <w:pPr>
              <w:numPr>
                <w:numId w:val="10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7,2 млн. евро публични разходи, или 0,3 %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rPr>
                <w:b w:val="0"/>
              </w:rPr>
            </w:pPr>
            <w:r>
              <w:rPr>
                <w:b w:val="0"/>
              </w:rPr>
              <w:t>M06 — Развитие на стопанства и предприятия (член 19)</w:t>
            </w:r>
          </w:p>
          <w:p>
            <w:pPr>
              <w:numPr>
                <w:numId w:val="10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61 млн.евро публични разходи или 2 %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5"/>
              </w:numPr>
            </w:pPr>
            <w:r>
              <w:t>М07 — Основни услуги и обновяване на селата в селските райони (член 20)</w:t>
            </w:r>
          </w:p>
          <w:p>
            <w:pPr>
              <w:numPr>
                <w:numId w:val="105"/>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684 млн. евро или 24 %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6"/>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42 млн. евро или 1,5%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29%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shd w:val="clear" w:color="auto" w:fill="FFFFFF"/>
            <w:noWrap w:val="0"/>
            <w:tcMar>
              <w:top w:w="20" w:type="dxa"/>
              <w:bottom w:w="20" w:type="dxa"/>
            </w:tcMar>
            <w:vAlign w:val="center"/>
          </w:tcPr>
          <w:p>
            <w:pPr>
              <w:spacing w:before="20" w:after="20"/>
              <w:jc w:val="right"/>
              <w:rPr>
                <w:b w:val="0"/>
                <w:sz w:val="16"/>
              </w:rPr>
            </w:pPr>
            <w:r>
              <w:rPr>
                <w:b w:val="0"/>
                <w:sz w:val="16"/>
              </w:rPr>
              <w:t>0,67</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387 008 261,50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M16, M21</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0,89</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150 544 023,50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18 500 000,00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274 885 142,30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28 189 337,00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822 740 427,80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22 345 329,10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59 876 971,10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258 340 778,00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148 485 578,10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shd w:val="clear" w:color="auto" w:fill="FFFFFF"/>
            <w:noWrap w:val="0"/>
            <w:tcMar>
              <w:top w:w="20" w:type="dxa"/>
              <w:bottom w:w="20" w:type="dxa"/>
            </w:tcMar>
            <w:vAlign w:val="center"/>
          </w:tcPr>
          <w:p>
            <w:pPr>
              <w:spacing w:before="20" w:after="20"/>
              <w:jc w:val="right"/>
              <w:rPr>
                <w:b w:val="0"/>
                <w:sz w:val="16"/>
              </w:rPr>
            </w:pPr>
            <w:r>
              <w:rPr>
                <w:b w:val="0"/>
                <w:sz w:val="16"/>
              </w:rPr>
              <w:t>117 878 037,00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96 795 933,10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46 912 366,10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7 239 281,90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61 072 207,10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684 550 775,40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42 000 000,00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M12,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3B, 5C, 6A, 5A, 1C, 5B, 1A, 1B, 5E, 3A, 5D, 6B, 6C, 2A, 2B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M09, M19, M04, M13, M14, M16, M15, M12, M01, M07, M02, M10, M06, M08, M11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5A, 3B, 5C, 2A, 6A, 5E, 2B, 6C, 1C, 1A, 3A, 1B, 5B, 6B,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M04, M09, M02, M14, M15, M19, M11, M01, M08, M07, M06, M13, M12, M16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5A, 6A, 6B, 5E, 3B, 5B, 2A, 5C, 1B, 2B, 6C, 5D, 1A, 1C, 3A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M04, M06, M19, M15, M11, M14, M02, M09, M10, M12, M01, M07, M08, M13</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5C, 5A, 5B, 2A,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M08, M04, M07,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5A, 6C,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M04, M16, M06, M02, M01, M07, M19,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5B, 2A, 5C,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M04, M08, M07, M16,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5A, 5E, 6A, 5D, 3A, 1C, 2A, 6C, 3B, 6B, 1B, 5C, 5B, 1A, 2B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M11, M09, M10, M14, M19, M08, M06, M04, M02, M15, M01, M07, M16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8"/>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0"/>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0"/>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1"/>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2"/>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2"/>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5"/>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6"/>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6"/>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6"/>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7"/>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8"/>
        <w:gridCol w:w="2011"/>
        <w:gridCol w:w="3140"/>
        <w:gridCol w:w="1769"/>
        <w:gridCol w:w="2261"/>
        <w:gridCol w:w="204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(а—б)</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5 800,00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5 800,00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556 052 285,00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556 052 285,00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303 074 479,30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303 074 479,30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410,00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845 085 756,90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845 085 756,90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359 310 130,30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359 310 130,30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44 050,00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44 050,00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625,00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625,00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787 622 982,50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787 622 982,50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859,00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859,00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5 800,00</w:t>
      </w:r>
    </w:p>
    <w:p>
      <w:r>
        <w:t xml:space="preserve">Корекции за допълнителни плащания (б): </w:t>
      </w:r>
    </w:p>
    <w:p>
      <w:r>
        <w:t xml:space="preserve">Целева абсолютна стойност (а—б): </w:t>
      </w:r>
      <w:r>
        <w:t>5 800,00</w:t>
      </w:r>
    </w:p>
    <w:p>
      <w:pPr>
        <w:pStyle w:val="Heading4"/>
        <w:jc w:val="left"/>
      </w:pPr>
      <w:r>
        <w:t>Общо публични разходи П2 (в евро)</w:t>
      </w:r>
    </w:p>
    <w:p>
      <w:r>
        <w:t xml:space="preserve">Applicable: </w:t>
      </w:r>
      <w:r>
        <w:t>Да</w:t>
      </w:r>
    </w:p>
    <w:p>
      <w:r>
        <w:t xml:space="preserve">Цел за 2023 г. (а): </w:t>
      </w:r>
      <w:r>
        <w:t>556 052 285,00</w:t>
      </w:r>
    </w:p>
    <w:p>
      <w:r>
        <w:t xml:space="preserve">Корекции за допълнителни плащания (б): </w:t>
      </w:r>
    </w:p>
    <w:p>
      <w:r>
        <w:t xml:space="preserve">Целева абсолютна стойност (а—б): </w:t>
      </w:r>
      <w:r>
        <w:t>556 052 285,00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303 074 479,30</w:t>
      </w:r>
    </w:p>
    <w:p>
      <w:r>
        <w:t xml:space="preserve">Корекции за допълнителни плащания (б): </w:t>
      </w:r>
    </w:p>
    <w:p>
      <w:r>
        <w:t xml:space="preserve">Целева абсолютна стойност (а—б): </w:t>
      </w:r>
      <w:r>
        <w:t>303 074 479,30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410,00</w:t>
      </w:r>
    </w:p>
    <w:p>
      <w:r>
        <w:t xml:space="preserve">Корекции за допълнителни плащания (б): </w:t>
      </w:r>
    </w:p>
    <w:p>
      <w:r>
        <w:t xml:space="preserve">Целева абсолютна стойност (а—б): </w:t>
      </w:r>
      <w:r>
        <w:t>410,00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60,00</w:t>
      </w:r>
    </w:p>
    <w:p>
      <w:r>
        <w:t xml:space="preserve">Корекции за допълнителни плащания (б): </w:t>
      </w:r>
    </w:p>
    <w:p>
      <w:r>
        <w:t xml:space="preserve">Целева абсолютна стойност (а—б): </w:t>
      </w:r>
      <w:r>
        <w:t>60,00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845 085 756,90</w:t>
      </w:r>
    </w:p>
    <w:p>
      <w:r>
        <w:t xml:space="preserve">Корекции за допълнителни плащания (б): </w:t>
      </w:r>
    </w:p>
    <w:p>
      <w:r>
        <w:t xml:space="preserve">Целева абсолютна стойност (а—б): </w:t>
      </w:r>
      <w:r>
        <w:t>845 085 756,90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610 000,00</w:t>
      </w:r>
    </w:p>
    <w:p>
      <w:r>
        <w:t xml:space="preserve">Корекции за допълнителни плащания (б): </w:t>
      </w:r>
    </w:p>
    <w:p>
      <w:r>
        <w:t xml:space="preserve">Целева абсолютна стойност (а—б):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359 310 130,30</w:t>
      </w:r>
    </w:p>
    <w:p>
      <w:r>
        <w:t xml:space="preserve">Корекции за допълнителни плащания (б): </w:t>
      </w:r>
    </w:p>
    <w:p>
      <w:r>
        <w:t xml:space="preserve">Целева абсолютна стойност (а—б): </w:t>
      </w:r>
      <w:r>
        <w:t>359 310 130,30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44 050,00</w:t>
      </w:r>
    </w:p>
    <w:p>
      <w:r>
        <w:t xml:space="preserve">Корекции за допълнителни плащания (б): </w:t>
      </w:r>
    </w:p>
    <w:p>
      <w:r>
        <w:t xml:space="preserve">Целева абсолютна стойност (а—б): </w:t>
      </w:r>
      <w:r>
        <w:t>44 050,00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625,00</w:t>
      </w:r>
    </w:p>
    <w:p>
      <w:r>
        <w:t xml:space="preserve">Корекции за допълнителни плащания (б): </w:t>
      </w:r>
    </w:p>
    <w:p>
      <w:r>
        <w:t xml:space="preserve">Целева абсолютна стойност (а—б): </w:t>
      </w:r>
      <w:r>
        <w:t>625,00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787 622 982,50</w:t>
      </w:r>
    </w:p>
    <w:p>
      <w:r>
        <w:t xml:space="preserve">Корекции за допълнителни плащания (б): </w:t>
      </w:r>
    </w:p>
    <w:p>
      <w:r>
        <w:t xml:space="preserve">Целева абсолютна стойност (а—б): </w:t>
      </w:r>
      <w:r>
        <w:t>787 622 982,50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859,00</w:t>
      </w:r>
    </w:p>
    <w:p>
      <w:r>
        <w:t xml:space="preserve">Корекции за допълнителни плащания (б): </w:t>
      </w:r>
    </w:p>
    <w:p>
      <w:r>
        <w:t xml:space="preserve">Целева абсолютна стойност (а—б): </w:t>
      </w:r>
      <w:r>
        <w:t>859,00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Целева абсолютна стойност (а—б):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16"/>
        <w:gridCol w:w="2149"/>
        <w:gridCol w:w="2701"/>
        <w:gridCol w:w="2102"/>
        <w:gridCol w:w="2197"/>
        <w:gridCol w:w="21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(а—б)</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360,00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2023 г. (а): </w:t>
      </w:r>
      <w:r>
        <w:t>360,00</w:t>
      </w:r>
    </w:p>
    <w:p>
      <w:r>
        <w:t xml:space="preserve">Корекции за допълнителни плащания (б): </w:t>
      </w:r>
    </w:p>
    <w:p>
      <w:r>
        <w:t xml:space="preserve">Целева абсолютна стойност (а—б): </w:t>
      </w:r>
      <w:r>
        <w:t>360,00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764"/>
        <w:gridCol w:w="42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30"/>
              <w:gridCol w:w="1858"/>
              <w:gridCol w:w="1894"/>
              <w:gridCol w:w="1960"/>
            </w:tblGrid>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4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0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00" w:type="dxa"/>
                  <w:noWrap w:val="0"/>
                  <w:tcMar>
                    <w:top w:w="20" w:type="dxa"/>
                    <w:left w:w="20" w:type="dxa"/>
                    <w:bottom w:w="20" w:type="dxa"/>
                    <w:right w:w="20" w:type="dxa"/>
                  </w:tcMar>
                  <w:vAlign w:val="bottom"/>
                  <w:hideMark/>
                </w:tcPr>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1"/>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00" w:type="dxa"/>
                  <w:noWrap w:val="0"/>
                  <w:tcMar>
                    <w:top w:w="20" w:type="dxa"/>
                    <w:left w:w="20" w:type="dxa"/>
                    <w:bottom w:w="20" w:type="dxa"/>
                    <w:right w:w="20" w:type="dxa"/>
                  </w:tcMar>
                  <w:vAlign w:val="top"/>
                  <w:hideMark/>
                </w:tcPr>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2"/>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3"/>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3"/>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0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5"/>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5"/>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27"/>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29"/>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3"/>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5"/>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 и прилагане на единна ставка, определена чрез прилагане на процент към една или няколко определени категории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 или единна ставка за оперативни разходи, свързани с функционирането на мобилните центрове;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2"/>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5"/>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5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56"/>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61"/>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63"/>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63"/>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6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6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6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168"/>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66"/>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66"/>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6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6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7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7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7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7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76"/>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164"/>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7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8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8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8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8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8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8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8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8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1 500 000 евро за кандидати с животновъдни стопанства, отглеждащи свине;</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1 000 000 евро за кандидати с животновъдни стопанства, отглеждащи птици;</w:t>
            </w:r>
          </w:p>
          <w:p>
            <w:pPr>
              <w:numPr>
                <w:ilvl w:val="0"/>
                <w:numId w:val="1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птици, максимална стойност на допустимите разходите за един животновъден обект е в размер до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87"/>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19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93"/>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1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1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1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1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1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1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1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1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19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1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1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1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1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0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04"/>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12"/>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1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20"/>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2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2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2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30"/>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републикански пътища;</w:t>
            </w:r>
          </w:p>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44"/>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48"/>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55"/>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5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58"/>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58"/>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65"/>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6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76"/>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8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88"/>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29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2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2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2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2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2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2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2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29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2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2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2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2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2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2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0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 като поетите ангажименти през 2021 г. се изпълняват за срок от една година.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площи от ангажимента на земеделски стопанин бъдат изключени от обхвата на мярката, поради влезли в сила заповеди за обявяване на зони по Натура 2000,  ангажимента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стопанин може да продължи да изпълнява дейности по направлението само с площи от ангажимента, които не са изключени от обхвата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паша - 126,80 Евро/ха. За заявените за подпомагане площи през  2021 г. и след нея.  - 134,09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-113,51 евро /ха. За заявените за подпомагане площи през 2021 г. и след нея  – 125,78 Евро/ха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1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2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за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поетият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Превръщане на обработваеми земеделски земи в постоянно затревени площи, чрез използване на многогодишни тревни смески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мероприятия в лозя и трайни насаждения -</w:t>
            </w:r>
          </w:p>
          <w:p>
            <w:pPr>
              <w:numPr>
                <w:ilvl w:val="0"/>
                <w:numId w:val="329"/>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 - поддържане на нисък тревостой на междуредовото затревяване и вътрешноредово окопаване на насажденията;</w:t>
            </w:r>
          </w:p>
          <w:p>
            <w:pPr>
              <w:numPr>
                <w:ilvl w:val="0"/>
                <w:numId w:val="329"/>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 - дължината на браздите е 5-10 м, като се прекъсват през 5 м. Разполагат се перпендикулярно на наклона и шахматно по склона в редовете. Браздите се прокопават три пъти годишно.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мероприятие в обработваеми земи:</w:t>
            </w:r>
          </w:p>
          <w:p>
            <w:pPr>
              <w:numPr>
                <w:ilvl w:val="0"/>
                <w:numId w:val="330"/>
              </w:numPr>
              <w:spacing w:before="24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с медоносна тревна растителност – ширината на ивиците е от поне  4м. Прокарват се  напречно на склона в зависимост от наклона на терена, почвения тип и други фактори. В зависимост от разстоянието между тях и ширината им те заемат поне 15 % от обработваемата площ на парцел.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окопни със слята повърхност култури перпендикулярно на склона - поясите, широки 30-100 м, с редуващи се окопни и слятопокровни култури, се  разполагат перпендикулярно (напречно) на склона (по контура).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предоставят план за противоерозионни дейности, изготвен от дипломиран агроном и документ при закупуване на тревните смески и семена на медоносни растения.</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 За заявените за подпомагане площи през  2021 г. и след нея -157,48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 За заявените за подпомагане площи през  2021 г. и след нея – 128,85 евро/ха;</w:t>
            </w:r>
          </w:p>
          <w:p>
            <w:pPr>
              <w:numPr>
                <w:ilvl w:val="0"/>
                <w:numId w:val="3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 За заявените за подпомагане площи през  2021 г. и след нея създаване и поддържане на буферни ивици с медоносна тревна растителност - 63,82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за поясно редуване на културите – 38,2 евро/ха. За заявените за подпомагане площи през  2021 г. – 91,88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3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w:t>
            </w:r>
            <w:r>
              <w:rPr>
                <w:rFonts w:ascii="Times New Roman" w:eastAsia="Times New Roman" w:hAnsi="Times New Roman" w:cs="Times New Roman"/>
                <w:szCs w:val="24"/>
                <w:u w:val="single"/>
              </w:rPr>
              <w:t xml:space="preserve"> </w:t>
            </w:r>
            <w:r>
              <w:rPr>
                <w:rFonts w:ascii="Times New Roman" w:eastAsia="Times New Roman" w:hAnsi="Times New Roman" w:cs="Times New Roman"/>
                <w:szCs w:val="24"/>
              </w:rPr>
              <w:t>не по-късно от 2022г.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Животните се придружавани от пастир (гледач), ако не се придружават от земеделския стопанин.</w:t>
            </w:r>
          </w:p>
          <w:p>
            <w:pPr>
              <w:numPr>
                <w:ilvl w:val="0"/>
                <w:numId w:val="3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придружаващите стадото кучета се поставя спъвачка.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замърсяване на водите и терените с битови, промишлени и други отпадъци;  бивакуване и палене на огън извън определените места; намеса в биологичното разнообразие.( Чл. 21 от Закона за защитените територии, т. 4, 6, 9, 12, 13, 14).</w:t>
            </w:r>
          </w:p>
          <w:p>
            <w:pPr>
              <w:numPr>
                <w:ilvl w:val="0"/>
                <w:numId w:val="3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резерватите се забраняват всякакви дейности, с изключение на посочените в чл. 17 от Закона за защитените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4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ежегодно удължаване на срока не по-късно от 2022 г. Поети ангажименти през 2021 се изпълняват за срок от една година.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51"/>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 не по-късно от 2022 г. Ангажиментите на нови кандидати може да са с продължителност от 1 до 3 години в съответствие с приетото европейско законодателство за периода 2021-2022 година.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5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три пъти годишно. Затревяване на междуредовото пространство на трайни насаждения. Тарифната ставка включва разходите за механизирани обработка по косене и почистване на междуредовите пространства, както и повишените трудови разходи.За създаване и поддържане на буферни ивици. Тук се отчита избягването на двойно финансиране на 5% ЕНП, задължителна по зелените плащания, а компонентите на ставката включват пропуснатите ползи от превръщането на част от обработваемата площ в затревени буферни ивици, както и допълнителните разходи за затревяването на буферните ивици с медоносна растителност, приспадайки възможните допълнителни приходи от затревената площ. Получената стойност от двата компонентна е умножена с дела на затревената буферна площ, за да се разпредели плащането върху целия парцел.</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на базата пропуснати ползи заради разликата в брутните маржини между окопните култури и културите на слята повърхност. Взета са предвид и увеличените разходи от прилагането на такава дейност, които представляват 7% от променливите разходи за окопни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75"/>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2021 г., когато периода на преход към биологично производство е стартирал преди края на 2020 г. и не е по-дълъг от продължителността на ангажимента. Финансова помощ по подмярката може да се предоставя за срок не по-дълъг от минималните периоди на преход към биологично производство.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ангажимента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ангажимента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 направление „Биологично растениевъдство“, заявени за подпомагане през 2021 и следващи кампании, може да се получава плащане, в случай, че е спазено изискването за отглеждане на биологични животни, заявени по направление „Биологично животновъдство“ при спазване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на земеделски стопанин, включени в слой „Биологични площи“, не могат да бъдат подпомагани за дейности за преход към биологично производство, както и сертифицираните животни и пчелини с пчелни семейства.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3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8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9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39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3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95"/>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могат да се поемат нови ангажименти с продължителност до 2 г. за кандидати изпълняващи ангажименти по ПРСР 2014-2020 или продължаващите ангажиментите да бъдат ежегодно удължавани до края на 2022. Ангажиментите за нови кандидати може да са с продължителност от 1 до 3 г в съответствие с приетото законодателство за периода 2021-2022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и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3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 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numPr>
                <w:ilvl w:val="0"/>
                <w:numId w:val="4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Удължените след 2020 г. ангажименти се изпълняват на одобрената за подкрепа площ за извършване на дейности по направление „Биологично растениевъдство“, която може да варира с процент по-голям от 10 % като ангажимента продължава да се изпълнява с площите, за които земеделските стопани имат регистрирано правно основание за ползване за съответната година.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участващи в продължаващ ангажимент или с които се поема нов ангажимент по подмярката трябва да са с биологичен статут към 31 декември 2019 г.;</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0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4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0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1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1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1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Одобрената за подкрепа площ на удължените след 2020 г. ангажименти може да варира с процент по-голям от 10 %, като ангажимента продължава да се изпълнява с площите, за които земеделските стопани имат правно основание за ползване за съответната година.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сертифицирани площи за оставащия период.</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като продължават изпълнението му с първоначално одобрените площи и/или добавят нови биологично сертифицирани площи, без да поемат нов ангажимент не по-късно от 2022 година.</w:t>
            </w:r>
          </w:p>
          <w:p>
            <w:pPr>
              <w:numPr>
                <w:ilvl w:val="0"/>
                <w:numId w:val="4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Площи/ЖЕ/пчелни семейства, за които земеделските стопани са изпълнявали ангажимент по мярка 11 „Биологично земеделие“ до момента, не могат да бъдат включени в нов ангажимент по мярката.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за използване на продукти за растителна защита в горското и селското и/или забрана употреба на минерални торове, както и на продукти за растителна защита и биоциди.</w:t>
            </w:r>
          </w:p>
          <w:p>
            <w:pPr>
              <w:numPr>
                <w:ilvl w:val="0"/>
                <w:numId w:val="4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Данни използвани от ДФЗ-РА при прилагане на мярката - Електронен регистър по чл. 45 от Наредба 5 от 2018 г.  и слой „Биологични площи“</w:t>
            </w:r>
          </w:p>
          <w:p>
            <w:pPr>
              <w:numPr>
                <w:ilvl w:val="0"/>
                <w:numId w:val="42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въз основа на данните в регистъра по чл. 45, предоставя на ДФЗ-РА информация за включените в система на контрол площи, животни и пчелни семейства към края на предходната година.</w:t>
            </w:r>
          </w:p>
          <w:p>
            <w:pPr>
              <w:numPr>
                <w:ilvl w:val="0"/>
                <w:numId w:val="42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ДФЗ-РА може да извършва проверки и въз основа на този регистър.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предоставя на ДФЗ-РА цифрови географски данни за площите преминали периода на преход и за които е издаден сертификат от Контролиращото лице (слой „Биологични площи“).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27"/>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9"/>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0"/>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0"/>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и Приложение №13А.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3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3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 Директива 92/43/ЕИО за опазване на природните местообитания и на дивата флора и фауна.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10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и 13А таблица с компенсаторни плащания по зони и видове ограничения и зоните за местообитанията..</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6"/>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6"/>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6"/>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6"/>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3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3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10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и 13А   таблица с компенсаторни плащания по зони и видове ограничения и зоните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използване на продукти за растителна защита в горското и селското и/или забрана за употреба на минерални торове, както и на продукти за растителна защита и биоциди.           </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площи, попадащи едновременно в обхвата на защитени зони по Директивата за птиците 2009/147/ЕО и Директива 92/43/ЕИО за опазване на природните местообитания и на дивата флора и фауна спазват всички забрани/режими/ограничения в заповедите и плановете за управление на съответните зони, но могат да получат компенсаторно плащане само за забраните и ограниченията за селскостопанска дейност в една зона.</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43"/>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44"/>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7, параграф 4 от РЕГЛАМЕНТ (ЕС) 2020/2220 на Европейския парламент и на Съвета, с който е изменен чл. 31, параграф 5 от Регламент 1305/2013, за бенефициерите от райони, които вече не отговарят на условията за подпомагане след новото райониране, преходната помощ за кампания 2021 и 2022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 След 2020 г. евро/ЖЕ - 39,72 евро;</w:t>
            </w:r>
          </w:p>
          <w:p>
            <w:pPr>
              <w:numPr>
                <w:ilvl w:val="0"/>
                <w:numId w:val="4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 След 2020 г. евро/ЖЕ - 66,21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 След 2020 г. евро/ЖЕ - 24,70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 След 2020 г. евро/ЖЕ – 28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 След 2020 г. евро/ЖЕ – 47,86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5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5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Извършено е преизчисление на премиите с референтен период 2017-2019 г., при което констатираните промени в пазарната и производствена среда в този период са съотнесени към периода 2011-2013 г.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61"/>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Център за оценка на риска по хранителната верига,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70"/>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80"/>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88"/>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92"/>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4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4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49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4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4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98"/>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6"/>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1.1.1.7.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30 юни 2021 г. въз основа на заявленията за подпомагане, които следва да бъдат одобрени до 31 декември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30 юни 2021 г. въз основа на заявленията за подпомагане, които следва да бъдат одобрени до 31 декември 2020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7"/>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30 юни 2021 г. въз основа на заявленията за подпомагане, които следва да бъдат одобрени до 31 декември 2020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8"/>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30 юни 2021 г. въз основа на заявленията за подпомагане, които следва да бъдат одобрени до 31 декември 2020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 до 30 юни 2021 г. въз основа на заявления за подпомагане, одобрени от компетентния орган до 31 декември 2020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1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1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1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1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768"/>
              <w:gridCol w:w="5651"/>
              <w:gridCol w:w="1745"/>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4" w:name="_Toc256000134"/>
      <w:r>
        <w:t>План за оценка</w:t>
      </w:r>
      <w:bookmarkEnd w:id="134"/>
    </w:p>
    <w:p>
      <w:pPr>
        <w:pStyle w:val="Heading2"/>
      </w:pPr>
      <w:bookmarkStart w:id="135" w:name="_Toc256000135"/>
      <w:r>
        <w:t>Цели и задачи</w:t>
      </w:r>
      <w:bookmarkEnd w:id="135"/>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6" w:name="_Toc256000136"/>
      <w:r>
        <w:t>Управление и координация</w:t>
      </w:r>
      <w:bookmarkEnd w:id="136"/>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7" w:name="_Toc256000137"/>
      <w:r>
        <w:t>Предмет на оценката и дейности</w:t>
      </w:r>
      <w:bookmarkEnd w:id="137"/>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8" w:name="_Toc256000138"/>
      <w:r>
        <w:t>Данни и информация</w:t>
      </w:r>
      <w:bookmarkEnd w:id="138"/>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9" w:name="_Toc256000139"/>
      <w:r>
        <w:t>График</w:t>
      </w:r>
      <w:bookmarkEnd w:id="139"/>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0" w:name="_Toc256000140"/>
      <w:r>
        <w:t>Комуникация</w:t>
      </w:r>
      <w:bookmarkEnd w:id="140"/>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Ресурси</w:t>
      </w:r>
      <w:bookmarkEnd w:id="141"/>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2" w:name="_Toc256000142"/>
      <w:r>
        <w:t>Финансов план</w:t>
      </w:r>
      <w:bookmarkEnd w:id="142"/>
    </w:p>
    <w:p>
      <w:pPr>
        <w:pStyle w:val="Heading2"/>
      </w:pPr>
      <w:r>
        <w:t xml:space="preserve"> </w:t>
      </w:r>
      <w:bookmarkStart w:id="143" w:name="_Toc256000143"/>
      <w:r>
        <w:t>Годишно участие на ЕЗФРСР в (в евро)</w:t>
      </w:r>
      <w:bookmarkEnd w:id="1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200"/>
        <w:gridCol w:w="200"/>
        <w:gridCol w:w="200"/>
        <w:gridCol w:w="200"/>
        <w:gridCol w:w="200"/>
        <w:gridCol w:w="200"/>
        <w:gridCol w:w="200"/>
        <w:gridCol w:w="200"/>
        <w:gridCol w:w="2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200" w:type="dxa"/>
            <w:shd w:val="clear" w:color="auto" w:fill="C0C0C0"/>
            <w:noWrap w:val="0"/>
            <w:tcMar>
              <w:top w:w="60" w:type="dxa"/>
            </w:tcMar>
            <w:vAlign w:val="top"/>
          </w:tcPr>
          <w:p>
            <w:pPr>
              <w:jc w:val="center"/>
              <w:rPr>
                <w:b/>
                <w:i w:val="0"/>
              </w:rPr>
            </w:pPr>
            <w:r>
              <w:rPr>
                <w:b/>
                <w:i w:val="0"/>
              </w:rPr>
              <w:t>Видове региони и допълнително разпределени средства</w:t>
            </w:r>
          </w:p>
        </w:tc>
        <w:tc>
          <w:tcPr>
            <w:tcW w:w="200" w:type="dxa"/>
            <w:shd w:val="clear" w:color="auto" w:fill="C0C0C0"/>
            <w:noWrap w:val="0"/>
            <w:tcMar>
              <w:top w:w="60" w:type="dxa"/>
            </w:tcMar>
            <w:vAlign w:val="top"/>
          </w:tcPr>
          <w:p>
            <w:pPr>
              <w:jc w:val="center"/>
              <w:rPr>
                <w:b/>
                <w:i w:val="0"/>
              </w:rPr>
            </w:pPr>
            <w:r>
              <w:rPr>
                <w:b/>
                <w:i w:val="0"/>
              </w:rPr>
              <w:t>2014</w:t>
            </w:r>
          </w:p>
        </w:tc>
        <w:tc>
          <w:tcPr>
            <w:tcW w:w="200" w:type="dxa"/>
            <w:shd w:val="clear" w:color="auto" w:fill="C0C0C0"/>
            <w:noWrap w:val="0"/>
            <w:tcMar>
              <w:top w:w="60" w:type="dxa"/>
            </w:tcMar>
            <w:vAlign w:val="top"/>
          </w:tcPr>
          <w:p>
            <w:pPr>
              <w:jc w:val="center"/>
              <w:rPr>
                <w:b/>
                <w:i w:val="0"/>
              </w:rPr>
            </w:pPr>
            <w:r>
              <w:rPr>
                <w:b/>
                <w:i w:val="0"/>
              </w:rPr>
              <w:t>2015</w:t>
            </w:r>
          </w:p>
        </w:tc>
        <w:tc>
          <w:tcPr>
            <w:tcW w:w="200" w:type="dxa"/>
            <w:shd w:val="clear" w:color="auto" w:fill="C0C0C0"/>
            <w:noWrap w:val="0"/>
            <w:tcMar>
              <w:top w:w="60" w:type="dxa"/>
            </w:tcMar>
            <w:vAlign w:val="top"/>
          </w:tcPr>
          <w:p>
            <w:pPr>
              <w:jc w:val="center"/>
              <w:rPr>
                <w:b/>
                <w:i w:val="0"/>
              </w:rPr>
            </w:pPr>
            <w:r>
              <w:rPr>
                <w:b/>
                <w:i w:val="0"/>
              </w:rPr>
              <w:t>2016</w:t>
            </w:r>
          </w:p>
        </w:tc>
        <w:tc>
          <w:tcPr>
            <w:tcW w:w="200" w:type="dxa"/>
            <w:shd w:val="clear" w:color="auto" w:fill="C0C0C0"/>
            <w:noWrap w:val="0"/>
            <w:tcMar>
              <w:top w:w="60" w:type="dxa"/>
            </w:tcMar>
            <w:vAlign w:val="top"/>
          </w:tcPr>
          <w:p>
            <w:pPr>
              <w:jc w:val="center"/>
              <w:rPr>
                <w:b/>
                <w:i w:val="0"/>
              </w:rPr>
            </w:pPr>
            <w:r>
              <w:rPr>
                <w:b/>
                <w:i w:val="0"/>
              </w:rPr>
              <w:t>2017</w:t>
            </w:r>
          </w:p>
        </w:tc>
        <w:tc>
          <w:tcPr>
            <w:tcW w:w="200" w:type="dxa"/>
            <w:shd w:val="clear" w:color="auto" w:fill="C0C0C0"/>
            <w:noWrap w:val="0"/>
            <w:tcMar>
              <w:top w:w="60" w:type="dxa"/>
            </w:tcMar>
            <w:vAlign w:val="top"/>
          </w:tcPr>
          <w:p>
            <w:pPr>
              <w:jc w:val="center"/>
              <w:rPr>
                <w:b/>
                <w:i w:val="0"/>
              </w:rPr>
            </w:pPr>
            <w:r>
              <w:rPr>
                <w:b/>
                <w:i w:val="0"/>
              </w:rPr>
              <w:t>2018</w:t>
            </w:r>
          </w:p>
        </w:tc>
        <w:tc>
          <w:tcPr>
            <w:tcW w:w="200" w:type="dxa"/>
            <w:shd w:val="clear" w:color="auto" w:fill="C0C0C0"/>
            <w:noWrap w:val="0"/>
            <w:tcMar>
              <w:top w:w="60" w:type="dxa"/>
            </w:tcMar>
            <w:vAlign w:val="top"/>
          </w:tcPr>
          <w:p>
            <w:pPr>
              <w:jc w:val="center"/>
              <w:rPr>
                <w:b/>
                <w:i w:val="0"/>
              </w:rPr>
            </w:pPr>
            <w:r>
              <w:rPr>
                <w:b/>
                <w:i w:val="0"/>
              </w:rPr>
              <w:t>2019</w:t>
            </w:r>
          </w:p>
        </w:tc>
        <w:tc>
          <w:tcPr>
            <w:tcW w:w="200" w:type="dxa"/>
            <w:shd w:val="clear" w:color="auto" w:fill="C0C0C0"/>
            <w:noWrap w:val="0"/>
            <w:tcMar>
              <w:top w:w="60" w:type="dxa"/>
            </w:tcMar>
            <w:vAlign w:val="top"/>
          </w:tcPr>
          <w:p>
            <w:pPr>
              <w:jc w:val="center"/>
              <w:rPr>
                <w:b/>
                <w:i w:val="0"/>
              </w:rPr>
            </w:pPr>
            <w:r>
              <w:rPr>
                <w:b/>
                <w:i w:val="0"/>
              </w:rPr>
              <w:t>2020</w:t>
            </w:r>
          </w:p>
        </w:tc>
        <w:tc>
          <w:tcPr>
            <w:tcW w:w="200" w:type="dxa"/>
            <w:shd w:val="clear" w:color="auto" w:fill="C0C0C0"/>
            <w:noWrap w:val="0"/>
            <w:tcMar>
              <w:top w:w="60" w:type="dxa"/>
            </w:tcMar>
            <w:vAlign w:val="top"/>
          </w:tcPr>
          <w:p>
            <w:pPr>
              <w:jc w:val="center"/>
              <w:rPr>
                <w:b w:val="0"/>
                <w:i w:val="0"/>
              </w:rPr>
            </w:pPr>
            <w:r>
              <w:rPr>
                <w:b/>
                <w:i w:val="0"/>
              </w:rPr>
              <w:t>Total</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502 807 341,00</w:t>
            </w:r>
          </w:p>
        </w:tc>
        <w:tc>
          <w:tcPr>
            <w:tcW w:w="200" w:type="dxa"/>
            <w:shd w:val="clear" w:color="auto" w:fill="FFFFFF"/>
            <w:noWrap w:val="0"/>
            <w:tcMar>
              <w:top w:w="60" w:type="dxa"/>
            </w:tcMar>
            <w:vAlign w:val="top"/>
          </w:tcPr>
          <w:p>
            <w:pPr>
              <w:jc w:val="right"/>
              <w:rPr>
                <w:b w:val="0"/>
                <w:i w:val="0"/>
                <w:sz w:val="16"/>
              </w:rPr>
            </w:pPr>
            <w:r>
              <w:rPr>
                <w:b w:val="0"/>
                <w:i w:val="0"/>
                <w:sz w:val="16"/>
              </w:rPr>
              <w:t>502 357 057,00</w:t>
            </w:r>
          </w:p>
        </w:tc>
        <w:tc>
          <w:tcPr>
            <w:tcW w:w="200" w:type="dxa"/>
            <w:shd w:val="clear" w:color="auto" w:fill="FFFFFF"/>
            <w:noWrap w:val="0"/>
            <w:tcMar>
              <w:top w:w="60" w:type="dxa"/>
            </w:tcMar>
            <w:vAlign w:val="top"/>
          </w:tcPr>
          <w:p>
            <w:pPr>
              <w:jc w:val="right"/>
              <w:rPr>
                <w:b w:val="0"/>
                <w:i w:val="0"/>
                <w:sz w:val="16"/>
              </w:rPr>
            </w:pPr>
            <w:r>
              <w:rPr>
                <w:b w:val="0"/>
                <w:i w:val="0"/>
                <w:sz w:val="16"/>
              </w:rPr>
              <w:t>334 147 994,00</w:t>
            </w:r>
          </w:p>
        </w:tc>
        <w:tc>
          <w:tcPr>
            <w:tcW w:w="200" w:type="dxa"/>
            <w:shd w:val="clear" w:color="auto" w:fill="FFFFFF"/>
            <w:noWrap w:val="0"/>
            <w:tcMar>
              <w:top w:w="60" w:type="dxa"/>
            </w:tcMar>
            <w:vAlign w:val="top"/>
          </w:tcPr>
          <w:p>
            <w:pPr>
              <w:jc w:val="right"/>
              <w:rPr>
                <w:b w:val="0"/>
                <w:i w:val="0"/>
                <w:sz w:val="16"/>
              </w:rPr>
            </w:pPr>
            <w:r>
              <w:rPr>
                <w:b w:val="0"/>
                <w:i w:val="0"/>
                <w:sz w:val="16"/>
              </w:rPr>
              <w:t>333 680 052,00</w:t>
            </w:r>
          </w:p>
        </w:tc>
        <w:tc>
          <w:tcPr>
            <w:tcW w:w="200" w:type="dxa"/>
            <w:shd w:val="clear" w:color="auto" w:fill="FFFFFF"/>
            <w:noWrap w:val="0"/>
            <w:tcMar>
              <w:top w:w="60" w:type="dxa"/>
            </w:tcMar>
            <w:vAlign w:val="top"/>
          </w:tcPr>
          <w:p>
            <w:pPr>
              <w:jc w:val="right"/>
              <w:rPr>
                <w:b w:val="0"/>
                <w:i w:val="0"/>
                <w:sz w:val="16"/>
              </w:rPr>
            </w:pPr>
            <w:r>
              <w:rPr>
                <w:b w:val="0"/>
                <w:i w:val="0"/>
                <w:sz w:val="16"/>
              </w:rPr>
              <w:t>333 187 306,00</w:t>
            </w:r>
          </w:p>
        </w:tc>
        <w:tc>
          <w:tcPr>
            <w:tcW w:w="200" w:type="dxa"/>
            <w:shd w:val="clear" w:color="auto" w:fill="FFFFFF"/>
            <w:noWrap w:val="0"/>
            <w:tcMar>
              <w:top w:w="60" w:type="dxa"/>
            </w:tcMar>
            <w:vAlign w:val="top"/>
          </w:tcPr>
          <w:p>
            <w:pPr>
              <w:jc w:val="right"/>
              <w:rPr>
                <w:b/>
                <w:i w:val="0"/>
                <w:sz w:val="16"/>
              </w:rPr>
            </w:pPr>
            <w:r>
              <w:rPr>
                <w:b w:val="0"/>
                <w:i w:val="0"/>
                <w:sz w:val="16"/>
              </w:rPr>
              <w:t>332 604 216,00</w:t>
            </w:r>
          </w:p>
        </w:tc>
        <w:tc>
          <w:tcPr>
            <w:tcW w:w="200" w:type="dxa"/>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2 663 000,00</w:t>
            </w:r>
          </w:p>
        </w:tc>
        <w:tc>
          <w:tcPr>
            <w:tcW w:w="200" w:type="dxa"/>
            <w:shd w:val="clear" w:color="auto" w:fill="FFFFFF"/>
            <w:noWrap w:val="0"/>
            <w:tcMar>
              <w:top w:w="60" w:type="dxa"/>
            </w:tcMar>
            <w:vAlign w:val="top"/>
          </w:tcPr>
          <w:p>
            <w:pPr>
              <w:jc w:val="right"/>
              <w:rPr>
                <w:b w:val="0"/>
                <w:i w:val="0"/>
                <w:sz w:val="16"/>
              </w:rPr>
            </w:pPr>
            <w:r>
              <w:rPr>
                <w:b w:val="0"/>
                <w:i w:val="0"/>
                <w:sz w:val="16"/>
              </w:rPr>
              <w:t>6 262 000,00</w:t>
            </w:r>
          </w:p>
        </w:tc>
        <w:tc>
          <w:tcPr>
            <w:tcW w:w="200" w:type="dxa"/>
            <w:shd w:val="clear" w:color="auto" w:fill="FFFFFF"/>
            <w:noWrap w:val="0"/>
            <w:tcMar>
              <w:top w:w="60" w:type="dxa"/>
            </w:tcMar>
            <w:vAlign w:val="top"/>
          </w:tcPr>
          <w:p>
            <w:pPr>
              <w:jc w:val="right"/>
              <w:rPr>
                <w:b w:val="0"/>
                <w:i w:val="0"/>
                <w:sz w:val="16"/>
              </w:rPr>
            </w:pPr>
            <w:r>
              <w:rPr>
                <w:b w:val="0"/>
                <w:i w:val="0"/>
                <w:sz w:val="16"/>
              </w:rPr>
              <w:t>6 286 000,00</w:t>
            </w:r>
          </w:p>
        </w:tc>
        <w:tc>
          <w:tcPr>
            <w:tcW w:w="200" w:type="dxa"/>
            <w:shd w:val="clear" w:color="auto" w:fill="FFFFFF"/>
            <w:noWrap w:val="0"/>
            <w:tcMar>
              <w:top w:w="60" w:type="dxa"/>
            </w:tcMar>
            <w:vAlign w:val="top"/>
          </w:tcPr>
          <w:p>
            <w:pPr>
              <w:jc w:val="right"/>
              <w:rPr>
                <w:b w:val="0"/>
                <w:i w:val="0"/>
                <w:sz w:val="16"/>
              </w:rPr>
            </w:pPr>
            <w:r>
              <w:rPr>
                <w:b w:val="0"/>
                <w:i w:val="0"/>
                <w:sz w:val="16"/>
              </w:rPr>
              <w:t>6 336 000,00</w:t>
            </w:r>
          </w:p>
        </w:tc>
        <w:tc>
          <w:tcPr>
            <w:tcW w:w="200" w:type="dxa"/>
            <w:shd w:val="clear" w:color="auto" w:fill="FFFFFF"/>
            <w:noWrap w:val="0"/>
            <w:tcMar>
              <w:top w:w="60" w:type="dxa"/>
            </w:tcMar>
            <w:vAlign w:val="top"/>
          </w:tcPr>
          <w:p>
            <w:pPr>
              <w:jc w:val="right"/>
              <w:rPr>
                <w:b/>
                <w:i w:val="0"/>
                <w:sz w:val="16"/>
              </w:rPr>
            </w:pPr>
            <w:r>
              <w:rPr>
                <w:b w:val="0"/>
                <w:i w:val="0"/>
                <w:sz w:val="16"/>
              </w:rPr>
              <w:t>6 386 000,00</w:t>
            </w:r>
          </w:p>
        </w:tc>
        <w:tc>
          <w:tcPr>
            <w:tcW w:w="200" w:type="dxa"/>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w:t>
            </w:r>
          </w:p>
        </w:tc>
        <w:tc>
          <w:tcPr>
            <w:tcW w:w="200" w:type="dxa"/>
            <w:shd w:val="clear" w:color="auto" w:fill="C0C0C0"/>
            <w:noWrap w:val="0"/>
            <w:tcMar>
              <w:top w:w="60" w:type="dxa"/>
            </w:tcMar>
            <w:vAlign w:val="top"/>
          </w:tcPr>
          <w:p>
            <w:pPr>
              <w:jc w:val="right"/>
              <w:rPr>
                <w:b/>
                <w:i w:val="0"/>
                <w:sz w:val="16"/>
              </w:rPr>
            </w:pPr>
            <w:r>
              <w:rPr>
                <w:b/>
                <w:i w:val="0"/>
                <w:sz w:val="16"/>
              </w:rPr>
              <w:t>0,00</w:t>
            </w: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30 168 440,46</w:t>
            </w:r>
          </w:p>
        </w:tc>
        <w:tc>
          <w:tcPr>
            <w:tcW w:w="200" w:type="dxa"/>
            <w:shd w:val="clear" w:color="auto" w:fill="FFFFFF"/>
            <w:noWrap w:val="0"/>
            <w:tcMar>
              <w:top w:w="60" w:type="dxa"/>
            </w:tcMar>
            <w:vAlign w:val="top"/>
          </w:tcPr>
          <w:p>
            <w:pPr>
              <w:jc w:val="right"/>
              <w:rPr>
                <w:b/>
                <w:i w:val="0"/>
                <w:sz w:val="16"/>
              </w:rPr>
            </w:pPr>
            <w:r>
              <w:rPr>
                <w:b/>
                <w:i w:val="0"/>
                <w:sz w:val="16"/>
              </w:rPr>
              <w:t>30 141 423,42</w:t>
            </w:r>
          </w:p>
        </w:tc>
        <w:tc>
          <w:tcPr>
            <w:tcW w:w="200" w:type="dxa"/>
            <w:shd w:val="clear" w:color="auto" w:fill="FFFFFF"/>
            <w:noWrap w:val="0"/>
            <w:tcMar>
              <w:top w:w="60" w:type="dxa"/>
            </w:tcMar>
            <w:vAlign w:val="top"/>
          </w:tcPr>
          <w:p>
            <w:pPr>
              <w:jc w:val="right"/>
              <w:rPr>
                <w:b/>
                <w:i w:val="0"/>
                <w:sz w:val="16"/>
              </w:rPr>
            </w:pPr>
            <w:r>
              <w:rPr>
                <w:b/>
                <w:i w:val="0"/>
                <w:sz w:val="16"/>
              </w:rPr>
              <w:t>20 048 879,64</w:t>
            </w:r>
          </w:p>
        </w:tc>
        <w:tc>
          <w:tcPr>
            <w:tcW w:w="200" w:type="dxa"/>
            <w:shd w:val="clear" w:color="auto" w:fill="FFFFFF"/>
            <w:noWrap w:val="0"/>
            <w:tcMar>
              <w:top w:w="60" w:type="dxa"/>
            </w:tcMar>
            <w:vAlign w:val="top"/>
          </w:tcPr>
          <w:p>
            <w:pPr>
              <w:jc w:val="right"/>
              <w:rPr>
                <w:b/>
                <w:i w:val="0"/>
                <w:sz w:val="16"/>
              </w:rPr>
            </w:pPr>
            <w:r>
              <w:rPr>
                <w:b/>
                <w:i w:val="0"/>
                <w:sz w:val="16"/>
              </w:rPr>
              <w:t>20 020 803,12</w:t>
            </w:r>
          </w:p>
        </w:tc>
        <w:tc>
          <w:tcPr>
            <w:tcW w:w="200" w:type="dxa"/>
            <w:shd w:val="clear" w:color="auto" w:fill="FFFFFF"/>
            <w:noWrap w:val="0"/>
            <w:tcMar>
              <w:top w:w="60" w:type="dxa"/>
            </w:tcMar>
            <w:vAlign w:val="top"/>
          </w:tcPr>
          <w:p>
            <w:pPr>
              <w:jc w:val="right"/>
              <w:rPr>
                <w:b/>
                <w:i w:val="0"/>
                <w:sz w:val="16"/>
              </w:rPr>
            </w:pPr>
            <w:r>
              <w:rPr>
                <w:b/>
                <w:i w:val="0"/>
                <w:sz w:val="16"/>
              </w:rPr>
              <w:t>19 991 238,36</w:t>
            </w:r>
          </w:p>
        </w:tc>
        <w:tc>
          <w:tcPr>
            <w:tcW w:w="200" w:type="dxa"/>
            <w:shd w:val="clear" w:color="auto" w:fill="FFFFFF"/>
            <w:noWrap w:val="0"/>
            <w:tcMar>
              <w:top w:w="60" w:type="dxa"/>
            </w:tcMar>
            <w:vAlign w:val="top"/>
          </w:tcPr>
          <w:p>
            <w:pPr>
              <w:jc w:val="right"/>
              <w:rPr>
                <w:b/>
                <w:i w:val="0"/>
                <w:sz w:val="16"/>
              </w:rPr>
            </w:pPr>
            <w:r>
              <w:rPr>
                <w:b/>
                <w:i w:val="0"/>
                <w:sz w:val="16"/>
              </w:rPr>
              <w:t>19 956 252,96</w:t>
            </w:r>
          </w:p>
        </w:tc>
        <w:tc>
          <w:tcPr>
            <w:tcW w:w="200" w:type="dxa"/>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1 162 019 376,20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144" w:name="_Toc256000144"/>
      <w:r>
        <w:t>Единно процентно участие на ЕЗФРСР за всички мерки с разбивка по вид регион, съгласно посоченото в член 59, параграф 3 от Регламент (ЕС) № 1305/2013</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5" w:name="_Toc256000145"/>
      <w:r>
        <w:rPr>
          <w:b/>
        </w:rPr>
        <w:t>Разбивката по мярка или вид операция, с конкретния размер на процентното участие на ЕЗФРСР (в евро за целия период 2014 — 2020 г.)</w:t>
      </w:r>
      <w:bookmarkEnd w:id="145"/>
    </w:p>
    <w:p>
      <w:pPr>
        <w:pStyle w:val="Heading3"/>
        <w:jc w:val="left"/>
        <w:rPr>
          <w:b w:val="0"/>
        </w:rPr>
      </w:pPr>
      <w:bookmarkStart w:id="146" w:name="_Toc256000146"/>
      <w:r>
        <w:rPr>
          <w:b w:val="0"/>
        </w:rPr>
        <w:t>М01 — Трансфер на знания и действия за осведомяване (член 14)</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20 700 000,00</w:t>
            </w:r>
          </w:p>
        </w:tc>
      </w:tr>
    </w:tbl>
    <w:p>
      <w:pPr>
        <w:pStyle w:val="Heading3"/>
        <w:jc w:val="left"/>
        <w:rPr>
          <w:b w:val="0"/>
        </w:rPr>
      </w:pPr>
      <w:r>
        <w:rPr>
          <w:b/>
        </w:rPr>
        <w:br w:type="page"/>
      </w:r>
      <w:bookmarkStart w:id="147" w:name="_Toc256000147"/>
      <w:r>
        <w:rPr>
          <w:b w:val="0"/>
        </w:rPr>
        <w:t>М02 —  Консултантски услуги, услуги по управление на стопанство и услуги по заместване в стопанство (член 15)</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7 738 022,00 (2A)</w:t>
            </w:r>
          </w:p>
          <w:p>
            <w:pPr>
              <w:jc w:val="right"/>
              <w:rPr>
                <w:b w:val="0"/>
                <w:sz w:val="16"/>
              </w:rPr>
            </w:pPr>
            <w:r>
              <w:rPr>
                <w:b w:val="0"/>
                <w:sz w:val="16"/>
              </w:rPr>
              <w:t>2 766 352,00 (2B)</w:t>
            </w:r>
          </w:p>
          <w:p>
            <w:pPr>
              <w:jc w:val="right"/>
              <w:rPr>
                <w:b w:val="0"/>
                <w:sz w:val="16"/>
              </w:rPr>
            </w:pPr>
            <w:r>
              <w:rPr>
                <w:b w:val="0"/>
                <w:sz w:val="16"/>
              </w:rPr>
              <w:t>708 900,00 (3A)</w:t>
            </w:r>
          </w:p>
          <w:p>
            <w:pPr>
              <w:jc w:val="right"/>
              <w:rPr>
                <w:b w:val="0"/>
                <w:sz w:val="16"/>
              </w:rPr>
            </w:pPr>
            <w:r>
              <w:rPr>
                <w:b w:val="0"/>
                <w:sz w:val="16"/>
              </w:rPr>
              <w:t>340 000,00 (3B)</w:t>
            </w:r>
          </w:p>
          <w:p>
            <w:pPr>
              <w:jc w:val="right"/>
              <w:rPr>
                <w:b w:val="0"/>
                <w:sz w:val="16"/>
              </w:rPr>
            </w:pPr>
            <w:r>
              <w:rPr>
                <w:b w:val="0"/>
                <w:sz w:val="16"/>
              </w:rPr>
              <w:t>1 530 000,00 (P4)</w:t>
            </w:r>
          </w:p>
          <w:p>
            <w:pPr>
              <w:jc w:val="right"/>
              <w:rPr>
                <w:b w:val="0"/>
                <w:sz w:val="16"/>
              </w:rPr>
            </w:pPr>
            <w:r>
              <w:rPr>
                <w:b w:val="0"/>
                <w:sz w:val="16"/>
              </w:rPr>
              <w:t>255 000,00 (5A)</w:t>
            </w:r>
          </w:p>
          <w:p>
            <w:pPr>
              <w:jc w:val="right"/>
              <w:rPr>
                <w:b w:val="0"/>
                <w:sz w:val="16"/>
              </w:rPr>
            </w:pPr>
            <w:r>
              <w:rPr>
                <w:b w:val="0"/>
                <w:sz w:val="16"/>
              </w:rPr>
              <w:t>680 000,00 (5B)</w:t>
            </w:r>
          </w:p>
          <w:p>
            <w:pPr>
              <w:jc w:val="right"/>
              <w:rPr>
                <w:b w:val="0"/>
                <w:sz w:val="16"/>
              </w:rPr>
            </w:pPr>
            <w:r>
              <w:rPr>
                <w:b w:val="0"/>
                <w:sz w:val="16"/>
              </w:rPr>
              <w:t>680 000,00 (5C)</w:t>
            </w:r>
          </w:p>
          <w:p>
            <w:pPr>
              <w:jc w:val="right"/>
              <w:rPr>
                <w:b w:val="0"/>
                <w:sz w:val="16"/>
              </w:rPr>
            </w:pPr>
            <w:r>
              <w:rPr>
                <w:b w:val="0"/>
                <w:sz w:val="16"/>
              </w:rPr>
              <w:t>680 000,00 (5D)</w:t>
            </w:r>
          </w:p>
          <w:p>
            <w:pPr>
              <w:jc w:val="right"/>
              <w:rPr>
                <w:b w:val="0"/>
                <w:sz w:val="16"/>
              </w:rPr>
            </w:pPr>
            <w:r>
              <w:rPr>
                <w:b w:val="0"/>
                <w:sz w:val="16"/>
              </w:rPr>
              <w:t>680 000,00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16 058 274,00</w:t>
            </w:r>
          </w:p>
        </w:tc>
      </w:tr>
    </w:tbl>
    <w:p>
      <w:pPr>
        <w:pStyle w:val="Heading3"/>
        <w:jc w:val="left"/>
        <w:rPr>
          <w:b w:val="0"/>
        </w:rPr>
      </w:pPr>
      <w:r>
        <w:rPr>
          <w:b/>
        </w:rPr>
        <w:br w:type="page"/>
      </w:r>
      <w:bookmarkStart w:id="148" w:name="_Toc256000148"/>
      <w:r>
        <w:rPr>
          <w:b w:val="0"/>
        </w:rPr>
        <w:t>M04 — Инвестиции в материални активи (член 17)</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13 000 000,00</w:t>
            </w:r>
          </w:p>
        </w:tc>
        <w:tc>
          <w:tcPr>
            <w:tcW w:w="2400" w:type="dxa"/>
            <w:shd w:val="clear" w:color="auto" w:fill="FFFFFF"/>
            <w:noWrap w:val="0"/>
            <w:tcMar>
              <w:top w:w="60" w:type="dxa"/>
            </w:tcMar>
            <w:vAlign w:val="top"/>
          </w:tcPr>
          <w:p>
            <w:pPr>
              <w:jc w:val="right"/>
              <w:rPr>
                <w:b w:val="0"/>
                <w:sz w:val="16"/>
              </w:rPr>
            </w:pPr>
            <w:r>
              <w:rPr>
                <w:b w:val="0"/>
                <w:sz w:val="16"/>
              </w:rPr>
              <w:t>223 860 277,00 (2A)</w:t>
            </w:r>
          </w:p>
          <w:p>
            <w:pPr>
              <w:jc w:val="right"/>
              <w:rPr>
                <w:b w:val="0"/>
                <w:sz w:val="16"/>
              </w:rPr>
            </w:pPr>
            <w:r>
              <w:rPr>
                <w:b w:val="0"/>
                <w:sz w:val="16"/>
              </w:rPr>
              <w:t>52 850 000,00 (2B)</w:t>
            </w:r>
          </w:p>
          <w:p>
            <w:pPr>
              <w:jc w:val="right"/>
              <w:rPr>
                <w:b w:val="0"/>
                <w:sz w:val="16"/>
              </w:rPr>
            </w:pPr>
            <w:r>
              <w:rPr>
                <w:b w:val="0"/>
                <w:sz w:val="16"/>
              </w:rPr>
              <w:t>198 024 000,00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40 849 395,00 (5A)</w:t>
            </w:r>
          </w:p>
          <w:p>
            <w:pPr>
              <w:jc w:val="right"/>
              <w:rPr>
                <w:b w:val="0"/>
                <w:sz w:val="16"/>
              </w:rPr>
            </w:pPr>
            <w:r>
              <w:rPr>
                <w:b w:val="0"/>
                <w:sz w:val="16"/>
              </w:rPr>
              <w:t>108 018 350,00 (5B)</w:t>
            </w:r>
          </w:p>
          <w:p>
            <w:pPr>
              <w:jc w:val="right"/>
              <w:rPr>
                <w:b w:val="0"/>
                <w:sz w:val="16"/>
              </w:rPr>
            </w:pPr>
            <w:r>
              <w:rPr>
                <w:b w:val="0"/>
                <w:sz w:val="16"/>
              </w:rPr>
              <w:t>18 251 117,00 (5C)</w:t>
            </w:r>
          </w:p>
          <w:p>
            <w:pPr>
              <w:jc w:val="right"/>
              <w:rPr>
                <w:b w:val="0"/>
                <w:sz w:val="16"/>
              </w:rPr>
            </w:pPr>
            <w:r>
              <w:rPr>
                <w:b w:val="0"/>
                <w:sz w:val="16"/>
              </w:rPr>
              <w:t>979 995,00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13 000 000,00</w:t>
            </w:r>
          </w:p>
        </w:tc>
        <w:tc>
          <w:tcPr>
            <w:tcW w:w="2400" w:type="dxa"/>
            <w:shd w:val="clear" w:color="auto" w:fill="C0C0C0"/>
            <w:noWrap w:val="0"/>
            <w:tcMar>
              <w:top w:w="60" w:type="dxa"/>
            </w:tcMar>
            <w:vAlign w:val="top"/>
          </w:tcPr>
          <w:p>
            <w:pPr>
              <w:jc w:val="right"/>
              <w:rPr>
                <w:b w:val="0"/>
                <w:sz w:val="16"/>
              </w:rPr>
            </w:pPr>
            <w:r>
              <w:rPr>
                <w:b w:val="0"/>
                <w:sz w:val="16"/>
              </w:rPr>
              <w:t>654 251 224,00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179 516 947,00</w:t>
            </w:r>
          </w:p>
        </w:tc>
      </w:tr>
    </w:tbl>
    <w:p>
      <w:pPr>
        <w:pStyle w:val="Heading3"/>
        <w:jc w:val="left"/>
        <w:rPr>
          <w:b w:val="0"/>
        </w:rPr>
      </w:pPr>
      <w:r>
        <w:rPr>
          <w:b/>
        </w:rPr>
        <w:br w:type="page"/>
      </w:r>
      <w:bookmarkStart w:id="149" w:name="_Toc256000149"/>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49"/>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23 450 935,00 (3B)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23 450 935,00</w:t>
            </w:r>
          </w:p>
        </w:tc>
      </w:tr>
    </w:tbl>
    <w:p>
      <w:pPr>
        <w:pStyle w:val="Heading3"/>
        <w:jc w:val="left"/>
        <w:rPr>
          <w:b w:val="0"/>
        </w:rPr>
      </w:pPr>
      <w:r>
        <w:rPr>
          <w:b/>
        </w:rPr>
        <w:br w:type="page"/>
      </w:r>
      <w:bookmarkStart w:id="150" w:name="_Toc256000150"/>
      <w:r>
        <w:rPr>
          <w:b w:val="0"/>
        </w:rPr>
        <w:t>M06 — Развитие на стопанства и предприятия (член 19)</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1 500 000,00</w:t>
            </w:r>
          </w:p>
        </w:tc>
        <w:tc>
          <w:tcPr>
            <w:tcW w:w="2400" w:type="dxa"/>
            <w:shd w:val="clear" w:color="auto" w:fill="FFFFFF"/>
            <w:noWrap w:val="0"/>
            <w:tcMar>
              <w:top w:w="60" w:type="dxa"/>
            </w:tcMar>
            <w:vAlign w:val="top"/>
          </w:tcPr>
          <w:p>
            <w:pPr>
              <w:jc w:val="right"/>
              <w:rPr>
                <w:b w:val="0"/>
                <w:sz w:val="16"/>
              </w:rPr>
            </w:pPr>
            <w:r>
              <w:rPr>
                <w:b w:val="0"/>
                <w:sz w:val="16"/>
              </w:rPr>
              <w:t>54 353 500,00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42 947 832,00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1 500 000,00</w:t>
            </w:r>
          </w:p>
        </w:tc>
        <w:tc>
          <w:tcPr>
            <w:tcW w:w="2400" w:type="dxa"/>
            <w:shd w:val="clear" w:color="auto" w:fill="C0C0C0"/>
            <w:noWrap w:val="0"/>
            <w:tcMar>
              <w:top w:w="60" w:type="dxa"/>
            </w:tcMar>
            <w:vAlign w:val="top"/>
          </w:tcPr>
          <w:p>
            <w:pPr>
              <w:jc w:val="right"/>
              <w:rPr>
                <w:b w:val="0"/>
                <w:sz w:val="16"/>
              </w:rPr>
            </w:pPr>
            <w:r>
              <w:rPr>
                <w:b w:val="0"/>
                <w:sz w:val="16"/>
              </w:rPr>
              <w:t>176 571 967,00</w:t>
            </w:r>
          </w:p>
        </w:tc>
      </w:tr>
    </w:tbl>
    <w:p>
      <w:pPr>
        <w:pStyle w:val="Heading3"/>
        <w:jc w:val="left"/>
        <w:rPr>
          <w:b w:val="0"/>
        </w:rPr>
      </w:pPr>
      <w:r>
        <w:rPr>
          <w:b/>
        </w:rPr>
        <w:br w:type="page"/>
      </w:r>
      <w:bookmarkStart w:id="151" w:name="_Toc256000151"/>
      <w:r>
        <w:rPr>
          <w:b w:val="0"/>
        </w:rPr>
        <w:t>М07 — Основни услуги и обновяване на селата в селските райони (член 20)</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467 606 524,00 (6B)</w:t>
            </w:r>
          </w:p>
          <w:p>
            <w:pPr>
              <w:jc w:val="right"/>
              <w:rPr>
                <w:b w:val="0"/>
                <w:sz w:val="16"/>
              </w:rPr>
            </w:pPr>
            <w:r>
              <w:rPr>
                <w:b w:val="0"/>
                <w:sz w:val="16"/>
              </w:rPr>
              <w:t>35 700 000,00 (6C)</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562 806 524,00</w:t>
            </w:r>
          </w:p>
        </w:tc>
      </w:tr>
    </w:tbl>
    <w:p>
      <w:pPr>
        <w:pStyle w:val="Heading3"/>
        <w:jc w:val="left"/>
        <w:rPr>
          <w:b w:val="0"/>
        </w:rPr>
      </w:pPr>
      <w:r>
        <w:rPr>
          <w:b/>
        </w:rPr>
        <w:br w:type="page"/>
      </w:r>
      <w:bookmarkStart w:id="152" w:name="_Toc256000152"/>
      <w:r>
        <w:rPr>
          <w:b w:val="0"/>
        </w:rPr>
        <w:t>М08 — Инвестиции в развитие на горските райони и подобряване на жизнеспособността на горите (членове 21 — 26)</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15 725 000,00 (2C+)</w:t>
            </w:r>
          </w:p>
          <w:p>
            <w:pPr>
              <w:jc w:val="right"/>
              <w:rPr>
                <w:b w:val="0"/>
                <w:sz w:val="16"/>
              </w:rPr>
            </w:pPr>
            <w:r>
              <w:rPr>
                <w:b w:val="0"/>
                <w:sz w:val="16"/>
              </w:rPr>
              <w:t>17 403 157,00 (P4)</w:t>
            </w:r>
          </w:p>
          <w:p>
            <w:pPr>
              <w:jc w:val="right"/>
              <w:rPr>
                <w:b w:val="0"/>
                <w:sz w:val="16"/>
              </w:rPr>
            </w:pPr>
            <w:r>
              <w:rPr>
                <w:b w:val="0"/>
                <w:sz w:val="16"/>
              </w:rPr>
              <w:t>2 037 500,00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1 223 334,00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36 388 991,00</w:t>
            </w:r>
          </w:p>
        </w:tc>
      </w:tr>
    </w:tbl>
    <w:p>
      <w:pPr>
        <w:pStyle w:val="Heading3"/>
        <w:jc w:val="left"/>
        <w:rPr>
          <w:b w:val="0"/>
        </w:rPr>
      </w:pPr>
      <w:r>
        <w:rPr>
          <w:b/>
        </w:rPr>
        <w:br w:type="page"/>
      </w:r>
      <w:bookmarkStart w:id="153" w:name="_Toc256000153"/>
      <w:r>
        <w:rPr>
          <w:b w:val="0"/>
        </w:rPr>
        <w:t>M09 — Създаване на групи и организации на производителите (член 27)</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8 384 852,00</w:t>
            </w:r>
          </w:p>
        </w:tc>
      </w:tr>
    </w:tbl>
    <w:p>
      <w:pPr>
        <w:pStyle w:val="Heading3"/>
        <w:jc w:val="left"/>
        <w:rPr>
          <w:b w:val="0"/>
        </w:rPr>
      </w:pPr>
      <w:r>
        <w:rPr>
          <w:b/>
        </w:rPr>
        <w:br w:type="page"/>
      </w:r>
      <w:bookmarkStart w:id="154" w:name="_Toc256000154"/>
      <w:r>
        <w:rPr>
          <w:b w:val="0"/>
        </w:rPr>
        <w:t>M10 — Агроекология и климат (член 28)</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137 510 002,00 (P4)</w:t>
            </w:r>
          </w:p>
          <w:p>
            <w:pPr>
              <w:jc w:val="right"/>
              <w:rPr>
                <w:b w:val="0"/>
                <w:sz w:val="16"/>
              </w:rPr>
            </w:pPr>
            <w:r>
              <w:rPr>
                <w:b w:val="0"/>
                <w:sz w:val="16"/>
              </w:rPr>
              <w:t>30 000 000,00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155" w:name="_Toc256000155"/>
      <w:r>
        <w:rPr>
          <w:b w:val="0"/>
        </w:rPr>
        <w:t>М11 — Биологично земеделие (член 29)</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143 695 079,00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143 695 079,00</w:t>
            </w:r>
          </w:p>
        </w:tc>
      </w:tr>
    </w:tbl>
    <w:p>
      <w:pPr>
        <w:pStyle w:val="Heading3"/>
        <w:jc w:val="left"/>
        <w:rPr>
          <w:b w:val="0"/>
        </w:rPr>
      </w:pPr>
      <w:r>
        <w:rPr>
          <w:b/>
        </w:rPr>
        <w:br w:type="page"/>
      </w:r>
      <w:bookmarkStart w:id="156" w:name="_Toc256000156"/>
      <w:r>
        <w:rPr>
          <w:b w:val="0"/>
        </w:rPr>
        <w:t>M12 — Плащания по „Натура 2000“ и Рамковата директива за водите (член 30)</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7" w:name="_Toc256000157"/>
      <w:r>
        <w:rPr>
          <w:b w:val="0"/>
        </w:rPr>
        <w:t>М13 — Плащания за райони, изправени пред природни или други специфични ограничения (член 31)</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213 266 006,00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213 266 006,00</w:t>
            </w:r>
          </w:p>
        </w:tc>
      </w:tr>
    </w:tbl>
    <w:p>
      <w:pPr>
        <w:pStyle w:val="Heading3"/>
        <w:jc w:val="left"/>
        <w:rPr>
          <w:b w:val="0"/>
        </w:rPr>
      </w:pPr>
      <w:r>
        <w:rPr>
          <w:b/>
        </w:rPr>
        <w:br w:type="page"/>
      </w:r>
      <w:bookmarkStart w:id="158" w:name="_Toc256000158"/>
      <w:r>
        <w:rPr>
          <w:b w:val="0"/>
        </w:rPr>
        <w:t>M14 — Хуманно отношение към животните (член 33)</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14 239 306,00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14 239 306,00</w:t>
            </w:r>
          </w:p>
        </w:tc>
      </w:tr>
    </w:tbl>
    <w:p>
      <w:pPr>
        <w:pStyle w:val="Heading3"/>
        <w:jc w:val="left"/>
        <w:rPr>
          <w:b w:val="0"/>
        </w:rPr>
      </w:pPr>
      <w:r>
        <w:rPr>
          <w:b/>
        </w:rPr>
        <w:br w:type="page"/>
      </w:r>
      <w:bookmarkStart w:id="159" w:name="_Toc256000159"/>
      <w:r>
        <w:rPr>
          <w:b w:val="0"/>
        </w:rPr>
        <w:t>M16 — Сътрудничество (член 35)</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4 600 000,00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25 200 000,00</w:t>
            </w:r>
          </w:p>
        </w:tc>
      </w:tr>
    </w:tbl>
    <w:p>
      <w:pPr>
        <w:pStyle w:val="Heading3"/>
        <w:jc w:val="left"/>
        <w:rPr>
          <w:b w:val="0"/>
        </w:rPr>
      </w:pPr>
      <w:r>
        <w:rPr>
          <w:b/>
        </w:rPr>
        <w:br w:type="page"/>
      </w:r>
      <w:bookmarkStart w:id="160" w:name="_Toc256000160"/>
      <w:r>
        <w:rPr>
          <w:b w:val="0"/>
        </w:rPr>
        <w:t>M19 — Подкрепа за местно развитие по LEADER (ВОМР — водено от общностите местно развитие) (член 35 от Регламент (ЕС) № 1303/2013)</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2 500 000,00</w:t>
            </w:r>
          </w:p>
        </w:tc>
        <w:tc>
          <w:tcPr>
            <w:tcW w:w="2400" w:type="dxa"/>
            <w:shd w:val="clear" w:color="auto" w:fill="FFFFFF"/>
            <w:noWrap w:val="0"/>
            <w:tcMar>
              <w:top w:w="60" w:type="dxa"/>
            </w:tcMar>
            <w:vAlign w:val="top"/>
          </w:tcPr>
          <w:p>
            <w:pPr>
              <w:jc w:val="right"/>
              <w:rPr>
                <w:b w:val="0"/>
                <w:sz w:val="16"/>
              </w:rPr>
            </w:pPr>
            <w:r>
              <w:rPr>
                <w:b w:val="0"/>
                <w:sz w:val="16"/>
              </w:rPr>
              <w:t>120 835 849,00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2 500 000,00</w:t>
            </w:r>
          </w:p>
        </w:tc>
        <w:tc>
          <w:tcPr>
            <w:tcW w:w="2400" w:type="dxa"/>
            <w:shd w:val="clear" w:color="auto" w:fill="C0C0C0"/>
            <w:noWrap w:val="0"/>
            <w:tcMar>
              <w:top w:w="60" w:type="dxa"/>
            </w:tcMar>
            <w:vAlign w:val="top"/>
          </w:tcPr>
          <w:p>
            <w:pPr>
              <w:jc w:val="right"/>
              <w:rPr>
                <w:b w:val="0"/>
                <w:sz w:val="16"/>
              </w:rPr>
            </w:pPr>
            <w:r>
              <w:rPr>
                <w:b w:val="0"/>
                <w:sz w:val="16"/>
              </w:rPr>
              <w:t>120 835 849,00</w:t>
            </w:r>
          </w:p>
        </w:tc>
      </w:tr>
    </w:tbl>
    <w:p>
      <w:pPr>
        <w:pStyle w:val="Heading3"/>
        <w:jc w:val="left"/>
        <w:rPr>
          <w:b w:val="0"/>
        </w:rPr>
      </w:pPr>
      <w:r>
        <w:rPr>
          <w:b/>
        </w:rPr>
        <w:br w:type="page"/>
      </w:r>
      <w:bookmarkStart w:id="161" w:name="_Toc256000161"/>
      <w:r>
        <w:rPr>
          <w:b w:val="0"/>
        </w:rPr>
        <w:t>М20 — Техническа помощ държави членки (членове 51 — 54)</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37 493 274,00</w:t>
            </w:r>
          </w:p>
        </w:tc>
      </w:tr>
    </w:tbl>
    <w:p>
      <w:pPr>
        <w:pStyle w:val="Heading3"/>
        <w:jc w:val="left"/>
        <w:rPr>
          <w:b w:val="0"/>
        </w:rPr>
      </w:pPr>
      <w:r>
        <w:rPr>
          <w:b/>
        </w:rPr>
        <w:br w:type="page"/>
      </w:r>
      <w:bookmarkStart w:id="162" w:name="_Toc256000162"/>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32 144 111,00 (2A)</w:t>
            </w:r>
          </w:p>
          <w:p>
            <w:pPr>
              <w:jc w:val="right"/>
              <w:rPr>
                <w:b w:val="0"/>
                <w:sz w:val="16"/>
              </w:rPr>
            </w:pPr>
            <w:r>
              <w:rPr>
                <w:b w:val="0"/>
                <w:sz w:val="16"/>
              </w:rPr>
              <w:t>8 963 544,00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w:t>
            </w:r>
          </w:p>
        </w:tc>
        <w:tc>
          <w:tcPr>
            <w:tcW w:w="2400" w:type="dxa"/>
            <w:shd w:val="clear" w:color="auto" w:fill="C0C0C0"/>
            <w:noWrap w:val="0"/>
            <w:tcMar>
              <w:top w:w="60" w:type="dxa"/>
            </w:tcMar>
            <w:vAlign w:val="top"/>
          </w:tcPr>
          <w:p>
            <w:pPr>
              <w:jc w:val="right"/>
              <w:rPr>
                <w:b w:val="0"/>
                <w:sz w:val="16"/>
              </w:rPr>
            </w:pP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41 107 655,00</w:t>
            </w:r>
          </w:p>
        </w:tc>
      </w:tr>
    </w:tbl>
    <w:p>
      <w:pPr>
        <w:rPr>
          <w:b/>
        </w:rPr>
        <w:sectPr>
          <w:pgSz w:w="15840" w:h="12240" w:orient="landscape"/>
          <w:pgMar w:top="900" w:right="900" w:bottom="900" w:left="900" w:header="720" w:footer="720"/>
          <w:cols w:space="720"/>
        </w:sectPr>
      </w:pPr>
    </w:p>
    <w:p>
      <w:pPr>
        <w:pStyle w:val="Heading2"/>
      </w:pPr>
      <w:bookmarkStart w:id="163" w:name="_Toc256000163"/>
      <w:r>
        <w:t>Ориентировъчна разбивка по мярка за всяка подпрограма</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400" w:type="dxa"/>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2400" w:type="dxa"/>
            <w:shd w:val="clear" w:color="auto" w:fill="C0C0C0"/>
            <w:noWrap w:val="0"/>
            <w:tcMar>
              <w:top w:w="60" w:type="dxa"/>
            </w:tcMar>
            <w:vAlign w:val="top"/>
          </w:tcPr>
          <w:p>
            <w:pPr>
              <w:jc w:val="center"/>
              <w:rPr>
                <w:b w:val="0"/>
                <w:sz w:val="16"/>
              </w:rPr>
            </w:pPr>
            <w:r>
              <w:rPr>
                <w:b w:val="0"/>
                <w:sz w:val="16"/>
              </w:rPr>
              <w:t>Мярка</w:t>
            </w:r>
          </w:p>
        </w:tc>
        <w:tc>
          <w:tcPr>
            <w:tcW w:w="2400" w:type="dxa"/>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22 917 655,00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61 372 416,00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4" w:name="_Toc256000164"/>
      <w:r>
        <w:t>План на показателите</w:t>
      </w:r>
      <w:bookmarkEnd w:id="164"/>
    </w:p>
    <w:p>
      <w:pPr>
        <w:pStyle w:val="Heading2"/>
      </w:pPr>
      <w:bookmarkStart w:id="165" w:name="_Toc256000165"/>
      <w:r>
        <w:t>План на показателите</w:t>
      </w:r>
      <w:bookmarkEnd w:id="165"/>
    </w:p>
    <w:p>
      <w:pPr>
        <w:pStyle w:val="Heading3"/>
        <w:jc w:val="left"/>
        <w:rPr>
          <w:b w:val="0"/>
        </w:rPr>
      </w:pPr>
      <w:bookmarkStart w:id="166" w:name="_Toc256000166"/>
      <w:r>
        <w:rPr>
          <w:b w:val="0"/>
        </w:rPr>
        <w:t>P1: Стимулиране на трансфера на знания и иновациите в областта на селското и горското стопанство и селските райони</w:t>
      </w:r>
      <w:bookmarkEnd w:id="166"/>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2 895 255 368,00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22 999 999,40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18 892 087,10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28 000 000,00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167" w:name="_Toc25600016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7"/>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9 103 555,30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29 965 859,90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409 876 525,00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263 365 033,00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263 365 033,00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4 260,00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63 945 294,00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63 945 294,00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37 816 601,40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1000" w:type="pct"/>
            <w:shd w:val="clear" w:color="auto" w:fill="FFFFFF"/>
            <w:noWrap w:val="0"/>
            <w:tcMar>
              <w:top w:w="60" w:type="dxa"/>
            </w:tcMar>
            <w:vAlign w:val="center"/>
          </w:tcPr>
          <w:p>
            <w:pPr>
              <w:spacing w:before="20" w:after="20"/>
              <w:jc w:val="right"/>
              <w:rPr>
                <w:b w:val="0"/>
                <w:sz w:val="16"/>
              </w:rPr>
            </w:pPr>
            <w:r>
              <w:rPr>
                <w:b w:val="0"/>
                <w:sz w:val="16"/>
              </w:rPr>
              <w:t>28 000,00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0,89</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3 254 531,80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260,00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103 627 451,00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62 176 470,60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18 500 000,00</w:t>
            </w:r>
          </w:p>
        </w:tc>
      </w:tr>
    </w:tbl>
    <w:p>
      <w:pPr>
        <w:sectPr>
          <w:pgMar w:top="900" w:right="900" w:bottom="900" w:left="900" w:header="720" w:footer="720"/>
          <w:cols w:space="720"/>
        </w:sectPr>
      </w:pPr>
    </w:p>
    <w:p>
      <w:pPr>
        <w:pStyle w:val="Heading3"/>
        <w:jc w:val="left"/>
        <w:rPr>
          <w:b w:val="0"/>
        </w:rPr>
      </w:pPr>
      <w:bookmarkStart w:id="168" w:name="_Toc25600016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8"/>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410,00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834 000,00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330,00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465 738 824,00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232 969 412,00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9 316 502,00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16 752 124,70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1000" w:type="pct"/>
            <w:shd w:val="clear" w:color="auto" w:fill="FFFFFF"/>
            <w:noWrap w:val="0"/>
            <w:tcMar>
              <w:top w:w="60" w:type="dxa"/>
            </w:tcMar>
            <w:vAlign w:val="center"/>
          </w:tcPr>
          <w:p>
            <w:pPr>
              <w:spacing w:before="20" w:after="20"/>
              <w:jc w:val="right"/>
              <w:rPr>
                <w:b w:val="0"/>
                <w:sz w:val="16"/>
              </w:rPr>
            </w:pPr>
            <w:r>
              <w:rPr>
                <w:b w:val="0"/>
                <w:sz w:val="16"/>
              </w:rPr>
              <w:t>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1000" w:type="pct"/>
            <w:shd w:val="clear" w:color="auto" w:fill="FFFFFF"/>
            <w:noWrap w:val="0"/>
            <w:tcMar>
              <w:top w:w="60" w:type="dxa"/>
            </w:tcMar>
            <w:vAlign w:val="center"/>
          </w:tcPr>
          <w:p>
            <w:pPr>
              <w:spacing w:before="20" w:after="20"/>
              <w:jc w:val="right"/>
              <w:rPr>
                <w:b w:val="0"/>
                <w:sz w:val="16"/>
              </w:rPr>
            </w:pPr>
            <w:r>
              <w:rPr>
                <w:b w:val="0"/>
                <w:sz w:val="16"/>
              </w:rPr>
              <w:t>27 489 337,00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1000" w:type="pct"/>
            <w:shd w:val="clear" w:color="auto" w:fill="FFFFFF"/>
            <w:noWrap w:val="0"/>
            <w:tcMar>
              <w:top w:w="60" w:type="dxa"/>
            </w:tcMar>
            <w:vAlign w:val="center"/>
          </w:tcPr>
          <w:p>
            <w:pPr>
              <w:spacing w:before="20" w:after="20"/>
              <w:jc w:val="right"/>
              <w:rPr>
                <w:b w:val="0"/>
                <w:sz w:val="16"/>
              </w:rPr>
            </w:pPr>
            <w:r>
              <w:rPr>
                <w:b w:val="0"/>
                <w:sz w:val="16"/>
              </w:rPr>
              <w:t>27 589 337,00</w:t>
            </w:r>
          </w:p>
        </w:tc>
      </w:tr>
    </w:tbl>
    <w:p>
      <w:pPr>
        <w:sectPr>
          <w:pgMar w:top="900" w:right="900" w:bottom="900" w:left="900" w:header="720" w:footer="720"/>
          <w:cols w:space="720"/>
        </w:sectPr>
      </w:pPr>
    </w:p>
    <w:p>
      <w:pPr>
        <w:pStyle w:val="Heading3"/>
        <w:jc w:val="left"/>
        <w:rPr>
          <w:b w:val="0"/>
        </w:rPr>
      </w:pPr>
      <w:bookmarkStart w:id="169" w:name="_Toc256000169"/>
      <w:r>
        <w:rPr>
          <w:b w:val="0"/>
        </w:rPr>
        <w:t>P4: Възстановяване, опазване и укрепване на екосистемите, свързани със селското и горското стопанство</w:t>
      </w:r>
      <w:bookmarkEnd w:id="169"/>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3 505 404,40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1 800 000,00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25 373 532,20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15 224 119,30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183 346 669,00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29 000,00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191 593 438,70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284 354 674,70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5 111 111,10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20 474 302,40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0" w:name="_Toc25600017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0"/>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90,00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258 340 778,00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800 000,00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258 340 778,00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144 024 467,00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117 878 037,00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800 000,00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47 878 037,00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24 334 822,00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800 000,00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2 177 766,10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1 306 660,00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40 000 000,00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800 000,00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1 631 112,00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2 397 058,80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171" w:name="_Toc256000171"/>
      <w:r>
        <w:rPr>
          <w:b w:val="0"/>
        </w:rPr>
        <w:t>P6: Насърчаване на социалното приобщаване, намаляването на бедността и икономическото развитие в селските райони</w:t>
      </w:r>
      <w:bookmarkEnd w:id="171"/>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101 053 722,40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50 526 861,20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10 545 345,90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1000" w:type="pct"/>
            <w:shd w:val="clear" w:color="auto" w:fill="FFFFFF"/>
            <w:noWrap w:val="0"/>
            <w:tcMar>
              <w:top w:w="60" w:type="dxa"/>
            </w:tcMar>
            <w:vAlign w:val="center"/>
          </w:tcPr>
          <w:p>
            <w:pPr>
              <w:spacing w:before="20" w:after="20"/>
              <w:jc w:val="right"/>
              <w:rPr>
                <w:b w:val="0"/>
                <w:sz w:val="16"/>
              </w:rPr>
            </w:pPr>
            <w:r>
              <w:rPr>
                <w:b w:val="0"/>
                <w:sz w:val="16"/>
              </w:rPr>
              <w:t>190,00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640,00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550 125 322,40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3 116 442,00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94 430 052,00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30 378 959,00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19,00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42 000 000,00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2" w:name="_Toc256000172"/>
      <w:r>
        <w:t>Преглед на планираното изпълнение и на планираните разходи по мерки и по области с поставен акцент (генериран автоматично)</w:t>
      </w:r>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5"/>
        <w:gridCol w:w="835"/>
        <w:gridCol w:w="835"/>
        <w:gridCol w:w="835"/>
        <w:gridCol w:w="835"/>
        <w:gridCol w:w="2"/>
        <w:gridCol w:w="833"/>
        <w:gridCol w:w="835"/>
        <w:gridCol w:w="3"/>
        <w:gridCol w:w="832"/>
        <w:gridCol w:w="835"/>
        <w:gridCol w:w="835"/>
        <w:gridCol w:w="2"/>
        <w:gridCol w:w="3"/>
        <w:gridCol w:w="830"/>
        <w:gridCol w:w="2"/>
        <w:gridCol w:w="833"/>
        <w:gridCol w:w="2"/>
        <w:gridCol w:w="833"/>
        <w:gridCol w:w="2"/>
        <w:gridCol w:w="833"/>
        <w:gridCol w:w="2"/>
        <w:gridCol w:w="833"/>
        <w:gridCol w:w="2"/>
        <w:gridCol w:w="6"/>
        <w:gridCol w:w="827"/>
        <w:gridCol w:w="2"/>
        <w:gridCol w:w="833"/>
        <w:gridCol w:w="2"/>
        <w:gridCol w:w="833"/>
        <w:gridCol w:w="2"/>
        <w:gridCol w:w="8"/>
        <w:gridCol w:w="83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4"/>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11"/>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7"/>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gridSpan w:val="3"/>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371</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19,426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9,103,555.3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3,254,531.8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834,000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1,800,000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800,000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800,000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800,000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800,000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18,892,087.1</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409,876,525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103,627,451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465,738,824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25,373,532.2</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258,340,778</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47,878,037</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1,367,478,773.3</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263,365,033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62,176,470.6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232,969,412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15,224,119.3</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144,024,467</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24,334,822</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797,866,843.9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27,589,337</w:t>
            </w: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27,589,337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63,945,294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101,053,722.4</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253,369,585.5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63,945,294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50,526,861.2</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202,842,724.3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550,125,322.4</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42,000,000</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662,125,322.4</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20,474,302.4</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20,474,302.4</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18,500,000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18,500,000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183,346,669</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40,000,000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223,346,669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191,593,438.7</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191,593,438.7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284,354,674.7</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284,354,674.7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16,752,124.7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16,752,124.7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r>
              <w:rPr>
                <w:b w:val="0"/>
                <w:sz w:val="12"/>
              </w:rPr>
              <w:t>5,111,111.1</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3,116,442</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3,116,442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94,430,052</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94,430,052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30,378,959</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30,378,959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37,816,601.4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10,545,345.9</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48,361,947.3</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28,000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5"/>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190</w:t>
            </w: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p>
        </w:tc>
        <w:tc>
          <w:tcPr>
            <w:tcW w:w="1000" w:type="pct"/>
            <w:gridSpan w:val="2"/>
            <w:shd w:val="clear" w:color="auto" w:fill="FFFFFF"/>
            <w:noWrap w:val="0"/>
            <w:tcMar>
              <w:top w:w="20" w:type="dxa"/>
              <w:left w:w="20" w:type="dxa"/>
              <w:bottom w:w="20" w:type="dxa"/>
            </w:tcMar>
            <w:vAlign w:val="center"/>
          </w:tcPr>
          <w:p>
            <w:pPr>
              <w:jc w:val="right"/>
              <w:rPr>
                <w:b w:val="0"/>
                <w:sz w:val="12"/>
              </w:rPr>
            </w:pPr>
            <w:r>
              <w:rPr>
                <w:b w:val="0"/>
                <w:sz w:val="12"/>
              </w:rPr>
              <w:t>190</w:t>
            </w:r>
          </w:p>
        </w:tc>
      </w:tr>
    </w:tbl>
    <w:p>
      <w:pPr>
        <w:sectPr>
          <w:pgSz w:w="15840" w:h="12240" w:orient="landscape"/>
          <w:pgMar w:top="900" w:right="46" w:bottom="900" w:left="46" w:header="720" w:footer="720"/>
          <w:cols w:space="720"/>
        </w:sectPr>
      </w:pPr>
    </w:p>
    <w:p>
      <w:pPr>
        <w:pStyle w:val="Heading2"/>
      </w:pPr>
      <w:bookmarkStart w:id="173" w:name="_Toc256000173"/>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4" w:name="_Toc256000174"/>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4"/>
    </w:p>
    <w:p>
      <w:pPr>
        <w:pStyle w:val="Heading3"/>
        <w:jc w:val="left"/>
        <w:rPr>
          <w:b w:val="0"/>
        </w:rPr>
      </w:pPr>
      <w:r>
        <w:rPr>
          <w:b w:val="0"/>
        </w:rPr>
        <w:t xml:space="preserve"> </w:t>
      </w:r>
      <w:bookmarkStart w:id="175" w:name="_Toc256000175"/>
      <w:r>
        <w:rPr>
          <w:b w:val="0"/>
        </w:rPr>
        <w:t>Земеделска земя</w:t>
      </w:r>
      <w:bookmarkEnd w:id="175"/>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40 420 000,00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40 000 000,00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104 401 567,70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1 631 112,00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6" w:name="_Toc256000176"/>
      <w:r>
        <w:rPr>
          <w:b w:val="0"/>
        </w:rPr>
        <w:t>Горски площи</w:t>
      </w:r>
      <w:bookmarkEnd w:id="176"/>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7" w:name="_Toc256000177"/>
      <w:r>
        <w:t>Специфични за програмата цел и изпълнение</w:t>
      </w:r>
      <w:bookmarkEnd w:id="177"/>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76"/>
        <w:gridCol w:w="1776"/>
        <w:gridCol w:w="1776"/>
        <w:gridCol w:w="1776"/>
        <w:gridCol w:w="1776"/>
        <w:gridCol w:w="17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8" w:name="_Toc256000178"/>
      <w:r>
        <w:t>Допълнително национално финансиране</w:t>
      </w:r>
      <w:bookmarkEnd w:id="178"/>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9" w:name="_Toc256000179"/>
      <w:r>
        <w:rPr>
          <w:b/>
          <w:i w:val="0"/>
        </w:rPr>
        <w:t>М01 — Трансфер на знания и действия за осведомяване (член 14)</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0" w:name="_Toc256000180"/>
      <w:r>
        <w:rPr>
          <w:b/>
          <w:i w:val="0"/>
        </w:rPr>
        <w:t>М02 —  Консултантски услуги, услуги по управление на стопанство и услуги по заместване в стопанство (член 15)</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M04 — Инвестиции в материални активи (член 17)</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2"/>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3" w:name="_Toc256000183"/>
      <w:r>
        <w:rPr>
          <w:b/>
          <w:i w:val="0"/>
        </w:rPr>
        <w:t>M06 — Развитие на стопанства и предприятия (член 19)</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М07 — Основни услуги и обновяване на селата в селските райони (член 20)</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М08 — Инвестиции в развитие на горските райони и подобряване на жизнеспособността на горите (членове 21 — 26)</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M09 — Създаване на групи и организации на производителите (член 27)</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M10 — Агроекология и климат (член 28)</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М11 — Биологично земеделие (член 29)</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M12 — Плащания по „Натура 2000“ и Рамковата директива за водите (член 30)</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М13 — Плащания за райони, изправени пред природни или други специфични ограничения (член 31)</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M14 — Хуманно отношение към животните (член 33)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M16 — Сътрудничество (член 35)</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M19 — Подкрепа за местно развитие по LEADER (ВОМР — водено от общностите местно развитие) (член 35 от Регламент (ЕС) № 1303/2013)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М20 — Техническа помощ държави членки (членове 51 — 54)</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6" w:name="_Toc256000196"/>
      <w:r>
        <w:t>Елементи, необходими за оценка на държавната помощ</w:t>
      </w:r>
      <w:bookmarkEnd w:id="196"/>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sz w:val="16"/>
              </w:rPr>
            </w:pPr>
            <w:r>
              <w:rPr>
                <w:b w:val="0"/>
                <w:sz w:val="16"/>
              </w:rPr>
              <w:t>10 000 000,00</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636 232 224,38</w:t>
            </w:r>
          </w:p>
        </w:tc>
        <w:tc>
          <w:tcPr>
            <w:tcW w:w="650" w:type="pct"/>
            <w:shd w:val="clear" w:color="auto" w:fill="C0C0C0"/>
            <w:noWrap w:val="0"/>
            <w:tcMar>
              <w:top w:w="60" w:type="dxa"/>
            </w:tcMar>
            <w:vAlign w:val="top"/>
          </w:tcPr>
          <w:p>
            <w:pPr>
              <w:jc w:val="right"/>
              <w:rPr>
                <w:b/>
                <w:sz w:val="16"/>
              </w:rPr>
            </w:pPr>
            <w:r>
              <w:rPr>
                <w:b/>
                <w:sz w:val="16"/>
              </w:rPr>
              <w:t>106 911 105,76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748 143 330,14</w:t>
            </w:r>
          </w:p>
        </w:tc>
      </w:tr>
    </w:tbl>
    <w:p>
      <w:pPr>
        <w:rPr>
          <w:b/>
        </w:rPr>
        <w:sectPr>
          <w:pgSz w:w="15840" w:h="12240" w:orient="landscape"/>
          <w:pgMar w:top="900" w:right="900" w:bottom="900" w:left="900" w:header="720" w:footer="720"/>
          <w:cols w:space="720"/>
        </w:sectPr>
      </w:pPr>
    </w:p>
    <w:p/>
    <w:p>
      <w:pPr>
        <w:pStyle w:val="Heading2"/>
      </w:pPr>
      <w:bookmarkStart w:id="197" w:name="_Toc256000197"/>
      <w:r>
        <w:t>М01 — Трансфер на знания и действия за осведомяване (член 14)</w:t>
      </w:r>
      <w:bookmarkEnd w:id="197"/>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8" w:name="_Toc256000198"/>
      <w:r>
        <w:t>М02 —  Консултантски услуги, услуги по управление на стопанство и услуги по заместване в стопанство (член 15)</w:t>
      </w:r>
      <w:bookmarkEnd w:id="198"/>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9" w:name="_Toc256000199"/>
      <w:r>
        <w:t>М02 —  Консултантски услуги, услуги по управление на стопанство и услуги по заместване в стопанство (член 15)</w:t>
      </w:r>
      <w:bookmarkEnd w:id="199"/>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0" w:name="_Toc256000200"/>
      <w:r>
        <w:t>M04 — Инвестиции в материални активи (член 17)</w:t>
      </w:r>
      <w:bookmarkEnd w:id="200"/>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1" w:name="_Toc256000201"/>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1"/>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2" w:name="_Toc256000202"/>
      <w:r>
        <w:t>M06 — Развитие на стопанства и предприятия (член 19)</w:t>
      </w:r>
      <w:bookmarkEnd w:id="202"/>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3" w:name="_Toc256000203"/>
      <w:r>
        <w:t>М07 — Основни услуги и обновяване на селата в селските райони (член 20)</w:t>
      </w:r>
      <w:bookmarkEnd w:id="203"/>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4" w:name="_Toc256000204"/>
      <w:r>
        <w:t>М07 — Основни услуги и обновяване на селата в селските райони (член 20)</w:t>
      </w:r>
      <w:bookmarkEnd w:id="204"/>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5" w:name="_Toc256000205"/>
      <w:r>
        <w:t>М07 — Основни услуги и обновяване на селата в селските райони (член 20)</w:t>
      </w:r>
      <w:bookmarkEnd w:id="205"/>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М08 — Инвестиции в развитие на горските райони и подобряване на жизнеспособността на горите (членове 21 — 26)</w:t>
      </w:r>
      <w:bookmarkEnd w:id="206"/>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7" w:name="_Toc256000207"/>
      <w:r>
        <w:t>М08 — Инвестиции в развитие на горските райони и подобряване на жизнеспособността на горите (членове 21 — 26)</w:t>
      </w:r>
      <w:bookmarkEnd w:id="207"/>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8" w:name="_Toc256000208"/>
      <w:r>
        <w:t>М08 — Инвестиции в развитие на горските райони и подобряване на жизнеспособността на горите (членове 21 — 26)</w:t>
      </w:r>
      <w:bookmarkEnd w:id="208"/>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M09 — Създаване на групи и организации на производителите (член 27)</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M10 — Агроекология и климат (член 28)</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М11 — Биологично земеделие (член 29)</w:t>
      </w:r>
      <w:bookmarkEnd w:id="2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M12 — Плащания по „Натура 2000“ и Рамковата директива за водите (член 30)</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М13 — Плащания за райони, изправени пред природни или други специфични ограничения (член 31)</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M14 — Хуманно отношение към животните (член 33)</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M16 — Сътрудничество (член 35)</w:t>
      </w:r>
      <w:bookmarkEnd w:id="216"/>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M16 — Сътрудничество (член 35)</w:t>
      </w:r>
      <w:bookmarkEnd w:id="217"/>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M19 — Подкрепа за местно развитие по LEADER (ВОМР — водено от общностите местно развитие) (член 35 от Регламент (ЕС) № 1303/2013)</w:t>
      </w:r>
      <w:bookmarkEnd w:id="218"/>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219"/>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Pr>
        <w:sectPr>
          <w:pgMar w:top="900" w:right="900" w:bottom="900" w:left="900" w:header="720" w:footer="720"/>
          <w:cols w:space="720"/>
        </w:sectPr>
      </w:pPr>
    </w:p>
    <w:p>
      <w:pPr>
        <w:pStyle w:val="Heading1"/>
      </w:pPr>
      <w:bookmarkStart w:id="220" w:name="_Toc256000220"/>
      <w:r>
        <w:t>Информация относно взаимното допълване</w:t>
      </w:r>
      <w:bookmarkEnd w:id="220"/>
    </w:p>
    <w:p>
      <w:pPr>
        <w:pStyle w:val="Heading2"/>
      </w:pPr>
      <w:bookmarkStart w:id="221" w:name="_Toc256000221"/>
      <w:r>
        <w:t>Описание на средствата за осигуряване на допълняемост и съгласуваност със:</w:t>
      </w:r>
      <w:bookmarkEnd w:id="221"/>
      <w:r>
        <w:t xml:space="preserve"> </w:t>
      </w:r>
    </w:p>
    <w:p>
      <w:pPr>
        <w:pStyle w:val="Heading3"/>
        <w:jc w:val="left"/>
        <w:rPr>
          <w:b w:val="0"/>
        </w:rPr>
      </w:pPr>
      <w:bookmarkStart w:id="222" w:name="_Toc256000222"/>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3" w:name="_Toc256000223"/>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4" w:name="_Toc256000224"/>
      <w:r>
        <w:rPr>
          <w:b w:val="0"/>
        </w:rPr>
        <w:t>Когато е целесъобразно, информация за взаимното допълване с други финансови инструменти на Съюза, включително програма LIFE</w:t>
      </w:r>
      <w:bookmarkEnd w:id="22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5" w:name="_Toc256000225"/>
      <w:r>
        <w:t>Организация за изпълнението на програмата</w:t>
      </w:r>
      <w:bookmarkEnd w:id="225"/>
    </w:p>
    <w:p>
      <w:pPr>
        <w:pStyle w:val="Heading2"/>
      </w:pPr>
      <w:bookmarkStart w:id="226" w:name="_Toc256000226"/>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6"/>
    </w:p>
    <w:p>
      <w:pPr>
        <w:pStyle w:val="Heading3"/>
        <w:jc w:val="left"/>
        <w:rPr>
          <w:b w:val="0"/>
        </w:rPr>
      </w:pPr>
      <w:bookmarkStart w:id="227" w:name="_Toc256000227"/>
      <w:r>
        <w:rPr>
          <w:b w:val="0"/>
        </w:rPr>
        <w:t>Органи</w:t>
      </w:r>
      <w:bookmarkEnd w:id="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храните и горите.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 „Витоша“ 15, София 1000</w:t>
            </w:r>
          </w:p>
        </w:tc>
        <w:tc>
          <w:tcPr>
            <w:tcW w:w="650" w:type="pct"/>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8" w:name="_Toc256000228"/>
      <w:r>
        <w:rPr>
          <w:b w:val="0"/>
        </w:rPr>
        <w:t>Кратко описание на структурата за управление и контрол на програмата и на процедурите за независимо разглеждане на жалби</w:t>
      </w:r>
      <w:bookmarkEnd w:id="228"/>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1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1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29" w:name="_Toc256000229"/>
      <w:r>
        <w:rPr>
          <w:b w:val="0"/>
        </w:rPr>
        <w:t>Предлаган състав на мониторинговия комитет</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0" w:name="_Toc256000230"/>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2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2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1" w:name="_Toc256000231"/>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2" w:name="_Toc256000232"/>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3" w:name="_Toc256000233"/>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3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38"/>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3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40"/>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РСР - УО на ПРСР;</w:t>
            </w:r>
          </w:p>
          <w:p>
            <w:pPr>
              <w:numPr>
                <w:ilvl w:val="0"/>
                <w:numId w:val="5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4" w:name="_Toc256000234"/>
      <w:r>
        <w:t>Списък на действията за привличане на партньорите</w:t>
      </w:r>
      <w:bookmarkEnd w:id="234"/>
    </w:p>
    <w:p>
      <w:pPr>
        <w:pStyle w:val="Heading2"/>
      </w:pPr>
      <w:bookmarkStart w:id="235" w:name="_Toc256000235"/>
      <w:r>
        <w:t>16.1.1.Създаване на Тематична работна група (ТРГ) за разработване на ПРСР(2014-2020) с участие на партньорите</w:t>
      </w:r>
      <w:bookmarkEnd w:id="235"/>
    </w:p>
    <w:p>
      <w:pPr>
        <w:pStyle w:val="Heading3"/>
        <w:jc w:val="left"/>
        <w:rPr>
          <w:b w:val="0"/>
        </w:rPr>
      </w:pPr>
      <w:bookmarkStart w:id="236" w:name="_Toc256000236"/>
      <w:r>
        <w:rPr>
          <w:b w:val="0"/>
        </w:rPr>
        <w:t>Предмет на съответната консултация</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7" w:name="_Toc256000237"/>
      <w:r>
        <w:rPr>
          <w:b w:val="0"/>
        </w:rPr>
        <w:t>Обобщение на резултатите</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8" w:name="_Toc256000238"/>
      <w:r>
        <w:rPr>
          <w:b w:val="0"/>
        </w:rPr>
        <w:t>16.1.2. Провеждане на 7 заседания на ТРГ.</w:t>
      </w:r>
      <w:bookmarkEnd w:id="238"/>
    </w:p>
    <w:p>
      <w:pPr>
        <w:pStyle w:val="Heading3"/>
        <w:jc w:val="left"/>
        <w:rPr>
          <w:b w:val="0"/>
        </w:rPr>
      </w:pPr>
      <w:bookmarkStart w:id="239" w:name="_Toc256000239"/>
      <w:r>
        <w:rPr>
          <w:b w:val="0"/>
        </w:rPr>
        <w:t>Предмет на съответната консултация</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0" w:name="_Toc256000240"/>
      <w:r>
        <w:rPr>
          <w:b w:val="0"/>
        </w:rPr>
        <w:t>Обобщение на резултатите</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1" w:name="_Toc256000241"/>
      <w:r>
        <w:rPr>
          <w:b w:val="0"/>
        </w:rPr>
        <w:t>16.1.3. Сформиране на фокус групи</w:t>
      </w:r>
      <w:bookmarkEnd w:id="241"/>
    </w:p>
    <w:p>
      <w:pPr>
        <w:pStyle w:val="Heading3"/>
        <w:jc w:val="left"/>
        <w:rPr>
          <w:b w:val="0"/>
        </w:rPr>
      </w:pPr>
      <w:bookmarkStart w:id="242" w:name="_Toc256000242"/>
      <w:r>
        <w:rPr>
          <w:b w:val="0"/>
        </w:rPr>
        <w:t>Предмет на съответната консултация</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3" w:name="_Toc256000243"/>
      <w:r>
        <w:rPr>
          <w:b w:val="0"/>
        </w:rPr>
        <w:t>Обобщение на резултатите</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4" w:name="_Toc256000244"/>
      <w:r>
        <w:rPr>
          <w:b w:val="0"/>
        </w:rPr>
        <w:t>16.1.4.Привличане на партньори със съвещателен глас</w:t>
      </w:r>
      <w:bookmarkEnd w:id="244"/>
    </w:p>
    <w:p>
      <w:pPr>
        <w:pStyle w:val="Heading3"/>
        <w:jc w:val="left"/>
        <w:rPr>
          <w:b w:val="0"/>
        </w:rPr>
      </w:pPr>
      <w:bookmarkStart w:id="245" w:name="_Toc256000245"/>
      <w:r>
        <w:rPr>
          <w:b w:val="0"/>
        </w:rPr>
        <w:t>Предмет на съответната консултация</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6" w:name="_Toc256000246"/>
      <w:r>
        <w:rPr>
          <w:b w:val="0"/>
        </w:rPr>
        <w:t>Обобщение на резултатите</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7" w:name="_Toc256000247"/>
      <w:r>
        <w:rPr>
          <w:b w:val="0"/>
        </w:rPr>
        <w:t>16.1.5.Представяне на ПРСР на три заседания на КН</w:t>
      </w:r>
      <w:bookmarkEnd w:id="247"/>
    </w:p>
    <w:p>
      <w:pPr>
        <w:pStyle w:val="Heading3"/>
        <w:jc w:val="left"/>
        <w:rPr>
          <w:b w:val="0"/>
        </w:rPr>
      </w:pPr>
      <w:bookmarkStart w:id="248" w:name="_Toc256000248"/>
      <w:r>
        <w:rPr>
          <w:b w:val="0"/>
        </w:rPr>
        <w:t>Предмет на съответната консултация</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9" w:name="_Toc256000249"/>
      <w:r>
        <w:rPr>
          <w:b w:val="0"/>
        </w:rPr>
        <w:t>Обобщение на резултатите</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0" w:name="_Toc256000250"/>
      <w:r>
        <w:rPr>
          <w:b w:val="0"/>
        </w:rPr>
        <w:t>16.1.6.Достъп до информация, прозрачност</w:t>
      </w:r>
      <w:bookmarkEnd w:id="250"/>
    </w:p>
    <w:p>
      <w:pPr>
        <w:pStyle w:val="Heading3"/>
        <w:jc w:val="left"/>
        <w:rPr>
          <w:b w:val="0"/>
        </w:rPr>
      </w:pPr>
      <w:bookmarkStart w:id="251" w:name="_Toc256000251"/>
      <w:r>
        <w:rPr>
          <w:b w:val="0"/>
        </w:rPr>
        <w:t>Предмет на съответната консултация</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2" w:name="_Toc256000252"/>
      <w:r>
        <w:rPr>
          <w:b w:val="0"/>
        </w:rPr>
        <w:t>Обобщение на резултатите</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3" w:name="_Toc256000253"/>
      <w:r>
        <w:rPr>
          <w:b w:val="0"/>
        </w:rPr>
        <w:t>(Незадължително) разяснения или допълнителна информация за допълване на списъка с действия</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4" w:name="_Toc256000254"/>
      <w:r>
        <w:t>Национална мрежа за селските райони</w:t>
      </w:r>
      <w:bookmarkEnd w:id="254"/>
    </w:p>
    <w:p>
      <w:pPr>
        <w:pStyle w:val="Heading2"/>
      </w:pPr>
      <w:bookmarkStart w:id="255" w:name="_Toc256000255"/>
      <w:r>
        <w:t>Процедура и график за създаването на националната мрежа за селските райони („НМСР“)</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6" w:name="_Toc256000256"/>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7" w:name="_Toc256000257"/>
      <w:r>
        <w:t>Обобщено описание на основните категории дейности на националната мрежа за селските райони в съответствие с целите на програмата</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8" w:name="_Toc256000258"/>
      <w:r>
        <w:t>Налични ресурси за създаването и привеждането в действие на националната мрежа за селските райони</w:t>
      </w:r>
      <w:bookmarkEnd w:id="2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9" w:name="_Toc256000259"/>
      <w:r>
        <w:t>Предварителна оценка на доказуемостта и на възможността за контрол, както и на риска от грешки</w:t>
      </w:r>
      <w:bookmarkEnd w:id="259"/>
    </w:p>
    <w:p>
      <w:pPr>
        <w:pStyle w:val="Heading2"/>
      </w:pPr>
      <w:bookmarkStart w:id="260" w:name="_Toc256000260"/>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5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5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1" w:name="_Toc256000261"/>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2" w:name="_Toc256000262"/>
      <w:r>
        <w:t>Преходни условия</w:t>
      </w:r>
      <w:bookmarkEnd w:id="262"/>
    </w:p>
    <w:p>
      <w:pPr>
        <w:pStyle w:val="Heading2"/>
      </w:pPr>
      <w:bookmarkStart w:id="263" w:name="_Toc256000263"/>
      <w:r>
        <w:t>Описание на преходните условия по мерки</w:t>
      </w:r>
      <w:bookmarkEnd w:id="2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2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4" w:name="_Toc256000264"/>
      <w:r>
        <w:t>Ориентировъчна таблица за пренос на средства</w:t>
      </w:r>
      <w:bookmarkEnd w:id="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5" w:name="_Toc256000265"/>
      <w:r>
        <w:t>Тематични подпрограми</w:t>
      </w:r>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66" w:name="_Toc256000266"/>
      <w:r>
        <w:rPr>
          <w:b w:val="0"/>
          <w:i w:val="0"/>
        </w:rPr>
        <w:t>Документи</w:t>
      </w:r>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04-01-2021</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Ares(2021)306695</w:t>
            </w:r>
          </w:p>
        </w:tc>
        <w:tc>
          <w:tcPr>
            <w:tcW w:w="2000" w:type="pct"/>
            <w:shd w:val="clear" w:color="auto" w:fill="FFFFFF"/>
            <w:noWrap w:val="0"/>
            <w:tcMar>
              <w:top w:w="60" w:type="dxa"/>
            </w:tcMar>
            <w:vAlign w:val="top"/>
          </w:tcPr>
          <w:p>
            <w:pPr>
              <w:jc w:val="left"/>
              <w:rPr>
                <w:b w:val="0"/>
                <w:i w:val="0"/>
                <w:sz w:val="16"/>
              </w:rPr>
            </w:pPr>
            <w:r>
              <w:rPr>
                <w:b w:val="0"/>
                <w:i w:val="0"/>
                <w:sz w:val="16"/>
              </w:rPr>
              <w:t>1485250580</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14-01-2021</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Ares(2021)306695</w:t>
            </w:r>
          </w:p>
        </w:tc>
        <w:tc>
          <w:tcPr>
            <w:tcW w:w="2000" w:type="pct"/>
            <w:shd w:val="clear" w:color="auto" w:fill="FFFFFF"/>
            <w:noWrap w:val="0"/>
            <w:tcMar>
              <w:top w:w="60" w:type="dxa"/>
            </w:tcMar>
            <w:vAlign w:val="top"/>
          </w:tcPr>
          <w:p>
            <w:pPr>
              <w:jc w:val="left"/>
              <w:rPr>
                <w:b w:val="0"/>
                <w:i w:val="0"/>
                <w:sz w:val="16"/>
              </w:rPr>
            </w:pPr>
            <w:r>
              <w:rPr>
                <w:b w:val="0"/>
                <w:i w:val="0"/>
                <w:sz w:val="16"/>
              </w:rPr>
              <w:t>1945619514</w:t>
            </w:r>
          </w:p>
        </w:tc>
        <w:tc>
          <w:tcPr>
            <w:tcW w:w="2000" w:type="pct"/>
            <w:shd w:val="clear" w:color="auto" w:fill="FFFFFF"/>
            <w:noWrap w:val="0"/>
            <w:tcMar>
              <w:top w:w="60" w:type="dxa"/>
            </w:tcMar>
            <w:vAlign w:val="top"/>
          </w:tcPr>
          <w:p>
            <w:pPr>
              <w:jc w:val="left"/>
              <w:rPr>
                <w:b w:val="0"/>
                <w:i w:val="0"/>
                <w:sz w:val="16"/>
              </w:rPr>
            </w:pPr>
            <w:r>
              <w:rPr>
                <w:b w:val="0"/>
                <w:i w:val="0"/>
                <w:sz w:val="16"/>
              </w:rPr>
              <w:t xml:space="preserve">Приложение към раздел 3_Обобщена справка за съответствието на ПРСР с постановеното в Становището на МОСВ за ЕО </w:t>
            </w:r>
          </w:p>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Приложение към Раздел 3_Таблица с препоръките от предварителната оценка</w:t>
            </w:r>
          </w:p>
        </w:tc>
        <w:tc>
          <w:tcPr>
            <w:tcW w:w="2000" w:type="pct"/>
            <w:shd w:val="clear" w:color="auto" w:fill="FFFFFF"/>
            <w:noWrap w:val="0"/>
            <w:tcMar>
              <w:top w:w="60" w:type="dxa"/>
            </w:tcMar>
            <w:vAlign w:val="top"/>
          </w:tcPr>
          <w:p>
            <w:pPr>
              <w:jc w:val="left"/>
              <w:rPr>
                <w:b w:val="0"/>
                <w:i w:val="0"/>
                <w:sz w:val="16"/>
              </w:rPr>
            </w:pPr>
            <w:r>
              <w:rPr>
                <w:b w:val="0"/>
                <w:i w:val="0"/>
                <w:sz w:val="16"/>
              </w:rPr>
              <w:t>14-01-2021</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30-10-2020</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Ares(2021)306695</w:t>
            </w:r>
          </w:p>
        </w:tc>
        <w:tc>
          <w:tcPr>
            <w:tcW w:w="2000" w:type="pct"/>
            <w:shd w:val="clear" w:color="auto" w:fill="FFFFFF"/>
            <w:noWrap w:val="0"/>
            <w:tcMar>
              <w:top w:w="60" w:type="dxa"/>
            </w:tcMar>
            <w:vAlign w:val="top"/>
          </w:tcPr>
          <w:p>
            <w:pPr>
              <w:jc w:val="left"/>
              <w:rPr>
                <w:b w:val="0"/>
                <w:i w:val="0"/>
                <w:sz w:val="16"/>
              </w:rPr>
            </w:pPr>
            <w:r>
              <w:rPr>
                <w:b w:val="0"/>
                <w:i w:val="0"/>
                <w:sz w:val="16"/>
              </w:rPr>
              <w:t>665885936</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  finansovi sredstva</w:t>
            </w:r>
          </w:p>
          <w:p>
            <w:pPr>
              <w:jc w:val="left"/>
              <w:rPr>
                <w:b w:val="0"/>
                <w:i w:val="0"/>
                <w:sz w:val="16"/>
              </w:rPr>
            </w:pPr>
            <w:r>
              <w:rPr>
                <w:b w:val="0"/>
                <w:i w:val="0"/>
                <w:sz w:val="16"/>
              </w:rPr>
              <w:t>Tematichna+podprograma+za+malki+stopanstva</w:t>
            </w:r>
          </w:p>
        </w:tc>
        <w:tc>
          <w:tcPr>
            <w:tcW w:w="2000" w:type="pct"/>
            <w:shd w:val="clear" w:color="auto" w:fill="FFFFFF"/>
            <w:noWrap w:val="0"/>
            <w:tcMar>
              <w:top w:w="60" w:type="dxa"/>
            </w:tcMar>
            <w:vAlign w:val="top"/>
          </w:tcPr>
          <w:p>
            <w:pPr>
              <w:jc w:val="left"/>
              <w:rPr>
                <w:b w:val="0"/>
                <w:i w:val="0"/>
                <w:sz w:val="16"/>
              </w:rPr>
            </w:pPr>
            <w:r>
              <w:rPr>
                <w:b w:val="0"/>
                <w:i w:val="0"/>
                <w:sz w:val="16"/>
              </w:rPr>
              <w:t>14-01-2021</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184F0CA9-3002-4475-90F3-C13FE6A41930}"/>
    <w:embedBold r:id="rId2" w:fontKey="{6B174607-6691-425F-A41D-655FCC02EB5C}"/>
    <w:embedItalic r:id="rId3" w:fontKey="{FA9ABF44-2D34-406F-8FDF-8C871A7A5B4A}"/>
    <w:embedBoldItalic r:id="rId4" w:fontKey="{FC3411E1-8D56-477B-9764-D280D28D740A}"/>
  </w:font>
  <w:font w:name="Symbol">
    <w:panose1 w:val="05050102010706020507"/>
    <w:charset w:val="02"/>
    <w:family w:val="roman"/>
    <w:pitch w:val="variable"/>
    <w:sig w:usb0="00000000" w:usb1="10000000" w:usb2="00000000" w:usb3="00000000" w:csb0="80000000" w:csb1="00000000"/>
    <w:embedRegular r:id="rId5" w:fontKey="{DF8CD8BE-3879-4DA8-A140-B7E0DC872B15}"/>
  </w:font>
  <w:font w:name="Arial">
    <w:panose1 w:val="020B0604020202020204"/>
    <w:charset w:val="00"/>
    <w:family w:val="swiss"/>
    <w:pitch w:val="variable"/>
    <w:sig w:usb0="E0002AFF" w:usb1="C0007843" w:usb2="00000009" w:usb3="00000000" w:csb0="000001FF" w:csb1="00000000"/>
    <w:embedRegular r:id="rId6" w:fontKey="{DF0B1AD5-FD2E-4613-922D-26294964DE77}"/>
    <w:embedBold r:id="rId7" w:fontKey="{926B4CEA-622F-438F-A82C-0099AB17224A}"/>
    <w:embedItalic r:id="rId8" w:fontKey="{D54998F4-37B4-4D73-9C7E-DEBAD3AD52F3}"/>
  </w:font>
  <w:font w:name="Calibri">
    <w:panose1 w:val="020F0502020204030204"/>
    <w:charset w:val="00"/>
    <w:family w:val="swiss"/>
    <w:pitch w:val="variable"/>
    <w:sig w:usb0="E10002FF" w:usb1="4000ACFF" w:usb2="00000009" w:usb3="00000000" w:csb0="0000019F" w:csb1="00000000"/>
    <w:embedRegular r:id="rId9" w:fontKey="{D1E7AF3C-F13F-49CF-8663-DA0439F9C1E9}"/>
  </w:font>
  <w:font w:name="Tahoma">
    <w:panose1 w:val="020B0604030504040204"/>
    <w:charset w:val="00"/>
    <w:family w:val="swiss"/>
    <w:pitch w:val="variable"/>
    <w:sig w:usb0="E1002EFF" w:usb1="C000605B" w:usb2="00000029" w:usb3="00000000" w:csb0="000101FF" w:csb1="00000000"/>
    <w:embedRegular r:id="rId10" w:fontKey="{1A990396-BA0B-4F29-AB9E-1D7FAA89719E}"/>
  </w:font>
  <w:font w:name="Courier New">
    <w:panose1 w:val="02070309020205020404"/>
    <w:charset w:val="00"/>
    <w:family w:val="modern"/>
    <w:pitch w:val="fixed"/>
    <w:sig w:usb0="E0002AFF" w:usb1="C0007843" w:usb2="00000009" w:usb3="00000000" w:csb0="000001FF" w:csb1="00000000"/>
    <w:embedRegular r:id="rId11" w:fontKey="{CC9173A8-5466-411C-BAB4-09499B5CDE7D}"/>
  </w:font>
  <w:font w:name="Wingdings">
    <w:charset w:val="00"/>
    <w:family w:val="auto"/>
    <w:pitch w:val="default"/>
    <w:sig w:usb0="00000000" w:usb1="00000000" w:usb2="00000000" w:usb3="00000000" w:csb0="00000001" w:csb1="00000000"/>
    <w:embedRegular r:id="rId12" w:fontKey="{4FC5D2EC-977F-44E9-BB2D-75927044A15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894</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multilevel"/>
    <w:tmpl w:val="7223053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nsid w:val="72230537"/>
    <w:multiLevelType w:val="multilevel"/>
    <w:tmpl w:val="7223053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hybridMultilevel"/>
    <w:tmpl w:val="722305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multilevel"/>
    <w:tmpl w:val="7223053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multilevel"/>
    <w:tmpl w:val="7223054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multilevel"/>
    <w:tmpl w:val="722305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multilevel"/>
    <w:tmpl w:val="722305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hybridMultilevel"/>
    <w:tmpl w:val="7223055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hybridMultilevel"/>
    <w:tmpl w:val="722305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multilevel"/>
    <w:tmpl w:val="7223055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multilevel"/>
    <w:tmpl w:val="7223055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8">
    <w:nsid w:val="7223055F"/>
    <w:multiLevelType w:val="hybridMultilevel"/>
    <w:tmpl w:val="7223055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hybridMultilevel"/>
    <w:tmpl w:val="7223056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multilevel"/>
    <w:tmpl w:val="7223056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7">
    <w:nsid w:val="72230568"/>
    <w:multiLevelType w:val="multilevel"/>
    <w:tmpl w:val="7223056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multilevel"/>
    <w:tmpl w:val="7223056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0">
    <w:nsid w:val="7223056B"/>
    <w:multiLevelType w:val="multilevel"/>
    <w:tmpl w:val="7223056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multilevel"/>
    <w:tmpl w:val="7223056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multilevel"/>
    <w:tmpl w:val="722305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nsid w:val="72230571"/>
    <w:multiLevelType w:val="multilevel"/>
    <w:tmpl w:val="7223057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hybridMultilevel"/>
    <w:tmpl w:val="7223057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multilevel"/>
    <w:tmpl w:val="7223057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1">
    <w:nsid w:val="72230576"/>
    <w:multiLevelType w:val="multilevel"/>
    <w:tmpl w:val="72230576"/>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2">
    <w:nsid w:val="72230577"/>
    <w:multiLevelType w:val="multilevel"/>
    <w:tmpl w:val="7223057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3">
    <w:nsid w:val="72230578"/>
    <w:multiLevelType w:val="multilevel"/>
    <w:tmpl w:val="72230578"/>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multilevel"/>
    <w:tmpl w:val="722305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hybridMultilevel"/>
    <w:tmpl w:val="7223057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0">
    <w:nsid w:val="7223057F"/>
    <w:multiLevelType w:val="hybridMultilevel"/>
    <w:tmpl w:val="722305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1">
    <w:nsid w:val="72230580"/>
    <w:multiLevelType w:val="multilevel"/>
    <w:tmpl w:val="722305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multilevel"/>
    <w:tmpl w:val="7223058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multilevel"/>
    <w:tmpl w:val="722305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nsid w:val="72230589"/>
    <w:multiLevelType w:val="hybridMultilevel"/>
    <w:tmpl w:val="722305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multilevel"/>
    <w:tmpl w:val="7223059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multilevel"/>
    <w:tmpl w:val="722305A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multilevel"/>
    <w:tmpl w:val="722305C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multilevel"/>
    <w:tmpl w:val="722305C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7">
    <w:nsid w:val="722305CC"/>
    <w:multiLevelType w:val="hybridMultilevel"/>
    <w:tmpl w:val="722305C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multilevel"/>
    <w:tmpl w:val="722305C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multilevel"/>
    <w:tmpl w:val="722305D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hybridMultilevel"/>
    <w:tmpl w:val="722305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multilevel"/>
    <w:tmpl w:val="722305D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multilevel"/>
    <w:tmpl w:val="722305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hybridMultilevel"/>
    <w:tmpl w:val="722305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multilevel"/>
    <w:tmpl w:val="722305E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multilevel"/>
    <w:tmpl w:val="722305E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multilevel"/>
    <w:tmpl w:val="722305F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4">
    <w:nsid w:val="722305F1"/>
    <w:multiLevelType w:val="multilevel"/>
    <w:tmpl w:val="722305F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multilevel"/>
    <w:tmpl w:val="722305F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7">
    <w:nsid w:val="722305F4"/>
    <w:multiLevelType w:val="multilevel"/>
    <w:tmpl w:val="722305F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hybridMultilevel"/>
    <w:tmpl w:val="722305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hybridMultilevel"/>
    <w:tmpl w:val="722305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hybridMultilevel"/>
    <w:tmpl w:val="722305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multilevel"/>
    <w:tmpl w:val="7223064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multilevel"/>
    <w:tmpl w:val="7223064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5">
    <w:nsid w:val="7223064C"/>
    <w:multiLevelType w:val="multilevel"/>
    <w:tmpl w:val="7223064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multilevel"/>
    <w:tmpl w:val="7223065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multilevel"/>
    <w:tmpl w:val="7223066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multilevel"/>
    <w:tmpl w:val="7223066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multilevel"/>
    <w:tmpl w:val="722306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multilevel"/>
    <w:tmpl w:val="7223067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hybridMultilevel"/>
    <w:tmpl w:val="722306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multilevel"/>
    <w:tmpl w:val="722306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3">
    <w:nsid w:val="72230686"/>
    <w:multiLevelType w:val="multilevel"/>
    <w:tmpl w:val="7223068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multilevel"/>
    <w:tmpl w:val="7223068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7">
    <w:nsid w:val="7223068A"/>
    <w:multiLevelType w:val="multilevel"/>
    <w:tmpl w:val="7223068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multilevel"/>
    <w:tmpl w:val="7223068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hybridMultilevel"/>
    <w:tmpl w:val="722306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hybridMultilevel"/>
    <w:tmpl w:val="722306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hybridMultilevel"/>
    <w:tmpl w:val="722306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hybridMultilevel"/>
    <w:tmpl w:val="722306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hybridMultilevel"/>
    <w:tmpl w:val="7223069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multilevel"/>
    <w:tmpl w:val="7223069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multilevel"/>
    <w:tmpl w:val="722306C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3">
    <w:nsid w:val="722306C2"/>
    <w:multiLevelType w:val="multilevel"/>
    <w:tmpl w:val="722306C2"/>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4">
    <w:nsid w:val="722306C3"/>
    <w:multiLevelType w:val="multilevel"/>
    <w:tmpl w:val="722306C3"/>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5">
    <w:nsid w:val="722306C4"/>
    <w:multiLevelType w:val="multilevel"/>
    <w:tmpl w:val="722306C4"/>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multilevel"/>
    <w:tmpl w:val="722306C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multilevel"/>
    <w:tmpl w:val="722306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0">
    <w:nsid w:val="722306DD"/>
    <w:multiLevelType w:val="multilevel"/>
    <w:tmpl w:val="722306D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1">
    <w:nsid w:val="722306DE"/>
    <w:multiLevelType w:val="multilevel"/>
    <w:tmpl w:val="722306D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2">
    <w:nsid w:val="722306DF"/>
    <w:multiLevelType w:val="multilevel"/>
    <w:tmpl w:val="722306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multilevel"/>
    <w:tmpl w:val="722306E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multilevel"/>
    <w:tmpl w:val="722306F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894</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